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096"/>
        <w:gridCol w:w="653"/>
        <w:gridCol w:w="704"/>
        <w:gridCol w:w="612"/>
        <w:gridCol w:w="2138"/>
        <w:gridCol w:w="22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   人数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学历类别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会计（学）、财务管理、会计（财务）电算化、会计电算化、会计与审计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具备初级会计师级及以上资格证书。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收费员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会计（学）、财务管理、会计（财务）电算化、会计电算化、会计与审计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具备初级会计师级及以上资格证书。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门诊医师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临床医学、内科学、儿科学、妇产科学、全科医学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具备执业医师及以上资格证书，具备中级及以上专业技术职称者，文化程度可放宽至非全日制大专，年龄放宽至40周岁。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中医馆康复医师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中医学和中西医结合类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具备助理执业医师及以上资格证书，具备中级及以上专业技术职称者，文化程度可放宽至非全日制大专。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组织管理工作人员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临床医学类、中医学和中西医结合类、公共卫生与预防医学类、护理学类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具备相关专业技术资格证书。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10D6358B"/>
    <w:rsid w:val="12B621F6"/>
    <w:rsid w:val="272B5086"/>
    <w:rsid w:val="285C0837"/>
    <w:rsid w:val="2A667ADB"/>
    <w:rsid w:val="430539A2"/>
    <w:rsid w:val="45D15B2D"/>
    <w:rsid w:val="4DBD5660"/>
    <w:rsid w:val="4ECB4584"/>
    <w:rsid w:val="5ACA4B83"/>
    <w:rsid w:val="612C74F2"/>
    <w:rsid w:val="661176CB"/>
    <w:rsid w:val="67C154CE"/>
    <w:rsid w:val="682A6E7E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887DF7C78EC44765B419984C138ED03F</vt:lpwstr>
  </property>
</Properties>
</file>