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70"/>
        <w:gridCol w:w="1440"/>
        <w:gridCol w:w="1005"/>
        <w:gridCol w:w="1710"/>
        <w:gridCol w:w="1485"/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有两年及以上卫生系统财务工作经历；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中级（会计师）及以上职称（含2021年考试通过人员）。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医学检验相关专业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有三年及以上三级医院检验工作经历；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儿童康复治疗师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康复治疗学或康复治疗技术专业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1.有两年及以上儿童康复工作经历；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2.初级及以上职称。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共计（人）</w:t>
            </w:r>
          </w:p>
        </w:tc>
        <w:tc>
          <w:tcPr>
            <w:tcW w:w="11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08185"/>
    <w:multiLevelType w:val="singleLevel"/>
    <w:tmpl w:val="14708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F95369"/>
    <w:multiLevelType w:val="singleLevel"/>
    <w:tmpl w:val="27F95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4DFD"/>
    <w:rsid w:val="73A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2022-01-24T07:02:00Z</dcterms:created>
  <dc:creator>兴安盟妇幼保健院</dc:creator>
  <cp:lastModifiedBy>兴安盟妇幼保健院</cp:lastModifiedBy>
  <dcterms:modified xsi:type="dcterms:W3CDTF">2022-01-24T07:02:46Z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C06B9F7862BE4D51803AF79FF4F1F119</vt:lpwstr>
  </property>
</Properties>
</file>