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ind w:left="3960" w:hanging="3960" w:hangingChars="1100"/>
        <w:jc w:val="left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3</w:t>
      </w:r>
    </w:p>
    <w:p>
      <w:pPr>
        <w:spacing w:line="592" w:lineRule="exact"/>
        <w:ind w:left="3960" w:hanging="3960" w:hangingChars="1100"/>
        <w:jc w:val="center"/>
        <w:rPr>
          <w:rFonts w:hint="eastAsia" w:ascii="方正小标宋_GBK" w:hAnsi="方正小标宋简体" w:eastAsia="方正小标宋_GBK" w:cs="方正小标宋简体"/>
          <w:sz w:val="36"/>
          <w:szCs w:val="36"/>
        </w:rPr>
      </w:pPr>
    </w:p>
    <w:p>
      <w:pPr>
        <w:spacing w:line="592" w:lineRule="exact"/>
        <w:ind w:left="3960" w:hanging="3960" w:hangingChars="1100"/>
        <w:jc w:val="center"/>
        <w:rPr>
          <w:rFonts w:hint="eastAsia" w:ascii="方正小标宋_GBK" w:hAnsi="方正小标宋简体" w:eastAsia="方正小标宋_GBK" w:cs="方正小标宋简体"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sz w:val="36"/>
          <w:szCs w:val="36"/>
        </w:rPr>
        <w:t>两江公司市场化职业经理人(生产技术副总)</w:t>
      </w:r>
    </w:p>
    <w:p>
      <w:pPr>
        <w:spacing w:line="592" w:lineRule="exact"/>
        <w:ind w:left="3960" w:hanging="3960" w:hangingChars="1100"/>
        <w:jc w:val="center"/>
        <w:rPr>
          <w:rFonts w:ascii="方正小标宋_GBK" w:hAnsi="方正小标宋简体" w:eastAsia="方正小标宋_GBK" w:cs="方正小标宋简体"/>
          <w:sz w:val="36"/>
          <w:szCs w:val="36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sz w:val="36"/>
          <w:szCs w:val="36"/>
        </w:rPr>
        <w:t>考核目标责任书</w:t>
      </w:r>
      <w:bookmarkEnd w:id="0"/>
    </w:p>
    <w:p>
      <w:pPr>
        <w:tabs>
          <w:tab w:val="left" w:pos="5040"/>
        </w:tabs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napToGrid w:val="0"/>
          <w:kern w:val="32"/>
          <w:sz w:val="32"/>
          <w:szCs w:val="32"/>
        </w:rPr>
      </w:pPr>
    </w:p>
    <w:p>
      <w:pPr>
        <w:tabs>
          <w:tab w:val="left" w:pos="5040"/>
        </w:tabs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仿宋"/>
          <w:snapToGrid w:val="0"/>
          <w:kern w:val="32"/>
          <w:sz w:val="32"/>
          <w:szCs w:val="32"/>
        </w:rPr>
      </w:pPr>
      <w:r>
        <w:rPr>
          <w:rFonts w:hint="eastAsia" w:ascii="黑体" w:hAnsi="黑体" w:eastAsia="黑体" w:cs="仿宋"/>
          <w:snapToGrid w:val="0"/>
          <w:kern w:val="32"/>
          <w:sz w:val="32"/>
          <w:szCs w:val="32"/>
        </w:rPr>
        <w:t>一、执行依据</w:t>
      </w:r>
    </w:p>
    <w:p>
      <w:pPr>
        <w:tabs>
          <w:tab w:val="left" w:pos="5040"/>
        </w:tabs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napToGrid w:val="0"/>
          <w:kern w:val="32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32"/>
          <w:sz w:val="32"/>
          <w:szCs w:val="32"/>
        </w:rPr>
        <w:t>根据《“双百企业”推行经理层成员任期制和契约化管理操作指引》，两江公司副总经理年度薪酬总额，由“基本年薪+绩效年薪+市场化考核年薪”组成。</w:t>
      </w:r>
    </w:p>
    <w:p>
      <w:pPr>
        <w:tabs>
          <w:tab w:val="left" w:pos="5040"/>
        </w:tabs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napToGrid w:val="0"/>
          <w:kern w:val="32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32"/>
          <w:sz w:val="32"/>
          <w:szCs w:val="32"/>
        </w:rPr>
        <w:t>基本年薪按月固定发放；绩效年薪按月预发50%，次年考核发放；市场化考核年薪与“收入增（减）幅”挂钩考核，次年考核发放。</w:t>
      </w:r>
    </w:p>
    <w:p>
      <w:pPr>
        <w:tabs>
          <w:tab w:val="left" w:pos="5040"/>
        </w:tabs>
        <w:adjustRightInd w:val="0"/>
        <w:snapToGrid w:val="0"/>
        <w:spacing w:line="580" w:lineRule="exact"/>
        <w:ind w:firstLine="640" w:firstLineChars="200"/>
        <w:rPr>
          <w:rFonts w:ascii="方正黑体_GBK" w:hAnsi="仿宋" w:eastAsia="方正黑体_GBK" w:cs="仿宋"/>
          <w:snapToGrid w:val="0"/>
          <w:kern w:val="32"/>
          <w:sz w:val="32"/>
          <w:szCs w:val="32"/>
        </w:rPr>
      </w:pPr>
      <w:r>
        <w:rPr>
          <w:rFonts w:hint="eastAsia" w:ascii="方正黑体_GBK" w:hAnsi="仿宋" w:eastAsia="方正黑体_GBK" w:cs="仿宋"/>
          <w:snapToGrid w:val="0"/>
          <w:kern w:val="32"/>
          <w:sz w:val="32"/>
          <w:szCs w:val="32"/>
        </w:rPr>
        <w:t>二、任期目标</w:t>
      </w:r>
    </w:p>
    <w:tbl>
      <w:tblPr>
        <w:tblStyle w:val="5"/>
        <w:tblpPr w:leftFromText="180" w:rightFromText="180" w:vertAnchor="text" w:horzAnchor="margin" w:tblpXSpec="center" w:tblpY="109"/>
        <w:tblOverlap w:val="never"/>
        <w:tblW w:w="597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2609"/>
        <w:gridCol w:w="1283"/>
        <w:gridCol w:w="1426"/>
        <w:gridCol w:w="1634"/>
        <w:gridCol w:w="139"/>
        <w:gridCol w:w="1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</w:trPr>
        <w:tc>
          <w:tcPr>
            <w:tcW w:w="663" w:type="pct"/>
            <w:shd w:val="clear" w:color="000000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314" w:type="pct"/>
            <w:shd w:val="clear" w:color="000000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主要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效益</w:t>
            </w:r>
            <w:r>
              <w:rPr>
                <w:rFonts w:ascii="黑体" w:hAnsi="黑体" w:eastAsia="黑体"/>
                <w:sz w:val="24"/>
                <w:szCs w:val="24"/>
              </w:rPr>
              <w:t>指标</w:t>
            </w:r>
          </w:p>
        </w:tc>
        <w:tc>
          <w:tcPr>
            <w:tcW w:w="646" w:type="pct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896"/>
              </w:tabs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2020</w:t>
            </w:r>
          </w:p>
        </w:tc>
        <w:tc>
          <w:tcPr>
            <w:tcW w:w="718" w:type="pct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896"/>
              </w:tabs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2021</w:t>
            </w:r>
          </w:p>
        </w:tc>
        <w:tc>
          <w:tcPr>
            <w:tcW w:w="823" w:type="pct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896"/>
              </w:tabs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2022</w:t>
            </w:r>
          </w:p>
        </w:tc>
        <w:tc>
          <w:tcPr>
            <w:tcW w:w="836" w:type="pct"/>
            <w:gridSpan w:val="2"/>
            <w:shd w:val="clear" w:color="000000" w:fill="auto"/>
            <w:vAlign w:val="center"/>
          </w:tcPr>
          <w:p>
            <w:pPr>
              <w:tabs>
                <w:tab w:val="left" w:pos="1896"/>
              </w:tabs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任期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exact"/>
        </w:trPr>
        <w:tc>
          <w:tcPr>
            <w:tcW w:w="663" w:type="pct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896"/>
              </w:tabs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314" w:type="pct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89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采购保供的营业收入（占比75%）</w:t>
            </w:r>
          </w:p>
        </w:tc>
        <w:tc>
          <w:tcPr>
            <w:tcW w:w="646" w:type="pct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896"/>
              </w:tabs>
              <w:snapToGrid w:val="0"/>
              <w:ind w:firstLine="360" w:firstLineChars="150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718" w:type="pct"/>
            <w:shd w:val="clear" w:color="000000" w:fill="auto"/>
            <w:vAlign w:val="center"/>
          </w:tcPr>
          <w:p>
            <w:pPr>
              <w:tabs>
                <w:tab w:val="left" w:pos="1896"/>
              </w:tabs>
              <w:snapToGrid w:val="0"/>
              <w:ind w:firstLine="480" w:firstLineChars="200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823" w:type="pct"/>
            <w:shd w:val="clear" w:color="000000" w:fill="auto"/>
            <w:vAlign w:val="center"/>
          </w:tcPr>
          <w:p>
            <w:pPr>
              <w:tabs>
                <w:tab w:val="left" w:pos="1896"/>
              </w:tabs>
              <w:snapToGrid w:val="0"/>
              <w:ind w:firstLine="480" w:firstLineChars="200"/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836" w:type="pct"/>
            <w:gridSpan w:val="2"/>
            <w:shd w:val="clear" w:color="000000" w:fill="auto"/>
            <w:vAlign w:val="center"/>
          </w:tcPr>
          <w:p>
            <w:pPr>
              <w:tabs>
                <w:tab w:val="left" w:pos="1896"/>
              </w:tabs>
              <w:snapToGrid w:val="0"/>
              <w:ind w:firstLine="480" w:firstLineChars="200"/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</w:trPr>
        <w:tc>
          <w:tcPr>
            <w:tcW w:w="663" w:type="pct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896"/>
              </w:tabs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314" w:type="pct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89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采购保供的利润   （占比10%）</w:t>
            </w:r>
          </w:p>
        </w:tc>
        <w:tc>
          <w:tcPr>
            <w:tcW w:w="646" w:type="pct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89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8" w:type="pct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89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3" w:type="pct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89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36" w:type="pct"/>
            <w:gridSpan w:val="2"/>
            <w:shd w:val="clear" w:color="000000" w:fill="auto"/>
            <w:vAlign w:val="center"/>
          </w:tcPr>
          <w:p>
            <w:pPr>
              <w:tabs>
                <w:tab w:val="left" w:pos="189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663" w:type="pct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896"/>
              </w:tabs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314" w:type="pct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89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党建工作（占比10%）</w:t>
            </w:r>
          </w:p>
        </w:tc>
        <w:tc>
          <w:tcPr>
            <w:tcW w:w="3023" w:type="pct"/>
            <w:gridSpan w:val="5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89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考核等级B级及以上，不扣分；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考核为C级扣0.5分，C级以下扣1分。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663" w:type="pct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896"/>
              </w:tabs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314" w:type="pct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896"/>
              </w:tabs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争资立项（占比5%）</w:t>
            </w:r>
          </w:p>
        </w:tc>
        <w:tc>
          <w:tcPr>
            <w:tcW w:w="646" w:type="pct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89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8" w:type="pct"/>
            <w:shd w:val="clear" w:color="000000" w:fill="auto"/>
            <w:vAlign w:val="center"/>
          </w:tcPr>
          <w:p>
            <w:pPr>
              <w:tabs>
                <w:tab w:val="left" w:pos="189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823" w:type="pct"/>
            <w:shd w:val="clear" w:color="000000" w:fill="auto"/>
            <w:vAlign w:val="center"/>
          </w:tcPr>
          <w:p>
            <w:pPr>
              <w:tabs>
                <w:tab w:val="left" w:pos="189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836" w:type="pct"/>
            <w:gridSpan w:val="2"/>
            <w:shd w:val="clear" w:color="000000" w:fill="auto"/>
            <w:vAlign w:val="center"/>
          </w:tcPr>
          <w:p>
            <w:pPr>
              <w:tabs>
                <w:tab w:val="left" w:pos="189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exact"/>
        </w:trPr>
        <w:tc>
          <w:tcPr>
            <w:tcW w:w="663" w:type="pct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896"/>
              </w:tabs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314" w:type="pct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89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 xml:space="preserve">辅助指标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渔业管理办公室、</w:t>
            </w:r>
          </w:p>
          <w:p>
            <w:pPr>
              <w:tabs>
                <w:tab w:val="left" w:pos="189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 xml:space="preserve">生产技术、均衡上市、渔业保供   </w:t>
            </w:r>
          </w:p>
        </w:tc>
        <w:tc>
          <w:tcPr>
            <w:tcW w:w="3023" w:type="pct"/>
            <w:gridSpan w:val="5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89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打通一个链条，突出两个靓点，建立三大标准（安全、质量、数量），严格“四个统筹”（苗种投放、精准捕捞、定位运输、市场营销统筹），确保“五个稳定”（品种、规格、数量、质量、成活率的稳定）。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</w:trPr>
        <w:tc>
          <w:tcPr>
            <w:tcW w:w="663" w:type="pct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896"/>
              </w:tabs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314" w:type="pct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896"/>
              </w:tabs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否决指标</w:t>
            </w:r>
          </w:p>
        </w:tc>
        <w:tc>
          <w:tcPr>
            <w:tcW w:w="2257" w:type="pct"/>
            <w:gridSpan w:val="4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896"/>
              </w:tabs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不出现党风廉政建设和反腐败工作及安全生产，涉及的“一票否决”</w:t>
            </w:r>
          </w:p>
          <w:p>
            <w:pPr>
              <w:tabs>
                <w:tab w:val="left" w:pos="1896"/>
              </w:tabs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6" w:type="pct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896"/>
              </w:tabs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tabs>
          <w:tab w:val="left" w:pos="5040"/>
        </w:tabs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仿宋"/>
          <w:snapToGrid w:val="0"/>
          <w:kern w:val="32"/>
          <w:sz w:val="32"/>
          <w:szCs w:val="32"/>
        </w:rPr>
      </w:pPr>
      <w:r>
        <w:rPr>
          <w:rFonts w:hint="eastAsia" w:ascii="黑体" w:hAnsi="黑体" w:eastAsia="黑体" w:cs="仿宋"/>
          <w:snapToGrid w:val="0"/>
          <w:kern w:val="32"/>
          <w:sz w:val="32"/>
          <w:szCs w:val="32"/>
        </w:rPr>
        <w:t>三、基本年薪</w:t>
      </w:r>
    </w:p>
    <w:p>
      <w:pPr>
        <w:tabs>
          <w:tab w:val="left" w:pos="5040"/>
        </w:tabs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napToGrid w:val="0"/>
          <w:kern w:val="32"/>
          <w:sz w:val="32"/>
          <w:szCs w:val="32"/>
        </w:rPr>
      </w:pPr>
      <w:r>
        <w:rPr>
          <w:rFonts w:ascii="仿宋" w:hAnsi="仿宋" w:eastAsia="仿宋" w:cs="仿宋"/>
          <w:snapToGrid w:val="0"/>
          <w:kern w:val="32"/>
          <w:sz w:val="32"/>
          <w:szCs w:val="32"/>
        </w:rPr>
        <w:t>2020-2021年，11.458万元；2022年，10.11万元</w:t>
      </w:r>
      <w:r>
        <w:rPr>
          <w:rFonts w:hint="eastAsia" w:ascii="仿宋" w:hAnsi="仿宋" w:eastAsia="仿宋" w:cs="仿宋"/>
          <w:snapToGrid w:val="0"/>
          <w:kern w:val="32"/>
          <w:sz w:val="32"/>
          <w:szCs w:val="32"/>
        </w:rPr>
        <w:t>。按月固定发放。</w:t>
      </w:r>
    </w:p>
    <w:p>
      <w:pPr>
        <w:tabs>
          <w:tab w:val="left" w:pos="5040"/>
        </w:tabs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仿宋"/>
          <w:snapToGrid w:val="0"/>
          <w:kern w:val="32"/>
          <w:sz w:val="32"/>
          <w:szCs w:val="32"/>
        </w:rPr>
      </w:pPr>
      <w:r>
        <w:rPr>
          <w:rFonts w:hint="eastAsia" w:ascii="黑体" w:hAnsi="黑体" w:eastAsia="黑体" w:cs="仿宋"/>
          <w:snapToGrid w:val="0"/>
          <w:kern w:val="32"/>
          <w:sz w:val="32"/>
          <w:szCs w:val="32"/>
        </w:rPr>
        <w:t>四、绩效年薪</w:t>
      </w:r>
    </w:p>
    <w:p>
      <w:pPr>
        <w:tabs>
          <w:tab w:val="left" w:pos="5040"/>
        </w:tabs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napToGrid w:val="0"/>
          <w:kern w:val="32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32"/>
          <w:sz w:val="32"/>
          <w:szCs w:val="32"/>
        </w:rPr>
        <w:t>以基本年薪为绩效年薪基数，完成下列考核内容：</w:t>
      </w:r>
    </w:p>
    <w:p>
      <w:pPr>
        <w:tabs>
          <w:tab w:val="left" w:pos="5040"/>
        </w:tabs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napToGrid w:val="0"/>
          <w:kern w:val="32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32"/>
          <w:sz w:val="32"/>
          <w:szCs w:val="32"/>
        </w:rPr>
        <w:t>（一）完成党建考核年度指标（占比</w:t>
      </w:r>
      <w:r>
        <w:rPr>
          <w:rFonts w:ascii="仿宋" w:hAnsi="仿宋" w:eastAsia="仿宋" w:cs="仿宋"/>
          <w:snapToGrid w:val="0"/>
          <w:kern w:val="32"/>
          <w:sz w:val="32"/>
          <w:szCs w:val="32"/>
        </w:rPr>
        <w:t>10%</w:t>
      </w:r>
      <w:r>
        <w:rPr>
          <w:rFonts w:hint="eastAsia" w:ascii="仿宋" w:hAnsi="仿宋" w:eastAsia="仿宋" w:cs="仿宋"/>
          <w:snapToGrid w:val="0"/>
          <w:kern w:val="32"/>
          <w:sz w:val="32"/>
          <w:szCs w:val="32"/>
        </w:rPr>
        <w:t>）；</w:t>
      </w:r>
    </w:p>
    <w:p>
      <w:pPr>
        <w:tabs>
          <w:tab w:val="left" w:pos="5040"/>
        </w:tabs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napToGrid w:val="0"/>
          <w:kern w:val="32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32"/>
          <w:sz w:val="32"/>
          <w:szCs w:val="32"/>
        </w:rPr>
        <w:t>（二）完成子公司水库鱼种统筹采购投放前期及实施工作（占比</w:t>
      </w:r>
      <w:r>
        <w:rPr>
          <w:rFonts w:ascii="仿宋" w:hAnsi="仿宋" w:eastAsia="仿宋" w:cs="仿宋"/>
          <w:snapToGrid w:val="0"/>
          <w:kern w:val="32"/>
          <w:sz w:val="32"/>
          <w:szCs w:val="32"/>
        </w:rPr>
        <w:t>40</w:t>
      </w:r>
      <w:r>
        <w:rPr>
          <w:rFonts w:hint="eastAsia" w:ascii="仿宋" w:hAnsi="仿宋" w:eastAsia="仿宋" w:cs="仿宋"/>
          <w:snapToGrid w:val="0"/>
          <w:kern w:val="32"/>
          <w:sz w:val="32"/>
          <w:szCs w:val="32"/>
        </w:rPr>
        <w:t>%）；</w:t>
      </w:r>
    </w:p>
    <w:p>
      <w:pPr>
        <w:tabs>
          <w:tab w:val="left" w:pos="5040"/>
        </w:tabs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napToGrid w:val="0"/>
          <w:kern w:val="32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32"/>
          <w:sz w:val="32"/>
          <w:szCs w:val="32"/>
        </w:rPr>
        <w:t>（三）完成“四个统筹”，确保“五个稳定”，特别是子公司养鱼协调、生产经营及渔业技术管理工作（占比</w:t>
      </w:r>
      <w:r>
        <w:rPr>
          <w:rFonts w:ascii="仿宋" w:hAnsi="仿宋" w:eastAsia="仿宋" w:cs="仿宋"/>
          <w:snapToGrid w:val="0"/>
          <w:kern w:val="32"/>
          <w:sz w:val="32"/>
          <w:szCs w:val="32"/>
        </w:rPr>
        <w:t>3</w:t>
      </w:r>
      <w:r>
        <w:rPr>
          <w:rFonts w:hint="eastAsia" w:ascii="仿宋" w:hAnsi="仿宋" w:eastAsia="仿宋" w:cs="仿宋"/>
          <w:snapToGrid w:val="0"/>
          <w:kern w:val="32"/>
          <w:sz w:val="32"/>
          <w:szCs w:val="32"/>
        </w:rPr>
        <w:t>0%）。</w:t>
      </w:r>
    </w:p>
    <w:p>
      <w:pPr>
        <w:tabs>
          <w:tab w:val="left" w:pos="5040"/>
        </w:tabs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napToGrid w:val="0"/>
          <w:kern w:val="32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32"/>
          <w:sz w:val="32"/>
          <w:szCs w:val="32"/>
        </w:rPr>
        <w:t>（四）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完成集团公司安全考核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年度目标。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若安全考核在合格以上等级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的，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不扣分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；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低于合格等级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的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，扣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减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绩效年薪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5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0%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；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如出现安全生产事故，按集团公司相关规定执行。</w:t>
      </w:r>
    </w:p>
    <w:p>
      <w:pPr>
        <w:tabs>
          <w:tab w:val="left" w:pos="5040"/>
        </w:tabs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napToGrid w:val="0"/>
          <w:kern w:val="32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32"/>
          <w:sz w:val="32"/>
          <w:szCs w:val="32"/>
        </w:rPr>
        <w:t>（五）按照“生态发展、引领高端”的品牌定位，全面推进“渝湖”产业“六大体系”（即：鱼种培育、成鱼养殖、市场营销、特色加工、渔业监管、科技支撑体系）建设（占比</w:t>
      </w:r>
      <w:r>
        <w:rPr>
          <w:rFonts w:ascii="仿宋" w:hAnsi="仿宋" w:eastAsia="仿宋" w:cs="仿宋"/>
          <w:snapToGrid w:val="0"/>
          <w:kern w:val="32"/>
          <w:sz w:val="32"/>
          <w:szCs w:val="32"/>
        </w:rPr>
        <w:t>2</w:t>
      </w:r>
      <w:r>
        <w:rPr>
          <w:rFonts w:hint="eastAsia" w:ascii="仿宋" w:hAnsi="仿宋" w:eastAsia="仿宋" w:cs="仿宋"/>
          <w:snapToGrid w:val="0"/>
          <w:kern w:val="32"/>
          <w:sz w:val="32"/>
          <w:szCs w:val="32"/>
        </w:rPr>
        <w:t>0%）；</w:t>
      </w:r>
    </w:p>
    <w:p>
      <w:pPr>
        <w:tabs>
          <w:tab w:val="left" w:pos="5040"/>
        </w:tabs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仿宋"/>
          <w:snapToGrid w:val="0"/>
          <w:kern w:val="32"/>
          <w:sz w:val="32"/>
          <w:szCs w:val="32"/>
        </w:rPr>
      </w:pPr>
      <w:r>
        <w:rPr>
          <w:rFonts w:hint="eastAsia" w:ascii="黑体" w:hAnsi="黑体" w:eastAsia="黑体" w:cs="仿宋"/>
          <w:snapToGrid w:val="0"/>
          <w:kern w:val="32"/>
          <w:sz w:val="32"/>
          <w:szCs w:val="32"/>
        </w:rPr>
        <w:t>五、市场化考核年薪</w:t>
      </w:r>
    </w:p>
    <w:p>
      <w:pPr>
        <w:spacing w:line="596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方正仿宋_GBK"/>
          <w:kern w:val="24"/>
          <w:sz w:val="32"/>
          <w:szCs w:val="32"/>
        </w:rPr>
        <w:t>1、</w:t>
      </w:r>
      <w:r>
        <w:rPr>
          <w:rFonts w:hint="eastAsia" w:ascii="仿宋" w:hAnsi="仿宋" w:eastAsia="仿宋"/>
          <w:sz w:val="32"/>
          <w:szCs w:val="32"/>
        </w:rPr>
        <w:t>基本年薪。2020-2021年，11.458万元；2022年，10.11万元。</w:t>
      </w:r>
    </w:p>
    <w:p>
      <w:pPr>
        <w:spacing w:line="596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kern w:val="24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绩效年薪基数。与基本年薪一致，</w:t>
      </w:r>
      <w:r>
        <w:rPr>
          <w:rFonts w:hint="eastAsia" w:ascii="方正仿宋_GBK" w:eastAsia="方正仿宋_GBK"/>
          <w:sz w:val="32"/>
          <w:szCs w:val="32"/>
        </w:rPr>
        <w:t>绩效年薪以经济指标考核占比8</w:t>
      </w:r>
      <w:r>
        <w:rPr>
          <w:rFonts w:ascii="方正仿宋_GBK" w:eastAsia="方正仿宋_GBK"/>
          <w:sz w:val="32"/>
          <w:szCs w:val="32"/>
        </w:rPr>
        <w:t>5%</w:t>
      </w:r>
      <w:r>
        <w:rPr>
          <w:rFonts w:hint="eastAsia" w:ascii="方正仿宋_GBK" w:eastAsia="方正仿宋_GBK"/>
          <w:sz w:val="32"/>
          <w:szCs w:val="32"/>
        </w:rPr>
        <w:t>（收入指标占比7</w:t>
      </w:r>
      <w:r>
        <w:rPr>
          <w:rFonts w:ascii="方正仿宋_GBK" w:eastAsia="方正仿宋_GBK"/>
          <w:sz w:val="32"/>
          <w:szCs w:val="32"/>
        </w:rPr>
        <w:t>5%</w:t>
      </w:r>
      <w:r>
        <w:rPr>
          <w:rFonts w:hint="eastAsia" w:ascii="方正仿宋_GBK" w:eastAsia="方正仿宋_GBK"/>
          <w:sz w:val="32"/>
          <w:szCs w:val="32"/>
        </w:rPr>
        <w:t>，利润指标占比</w:t>
      </w:r>
      <w:r>
        <w:rPr>
          <w:rFonts w:ascii="方正仿宋_GBK" w:eastAsia="方正仿宋_GBK"/>
          <w:sz w:val="32"/>
          <w:szCs w:val="32"/>
        </w:rPr>
        <w:t>10%</w:t>
      </w:r>
      <w:r>
        <w:rPr>
          <w:rFonts w:hint="eastAsia" w:ascii="方正仿宋_GBK" w:eastAsia="方正仿宋_GBK"/>
          <w:sz w:val="32"/>
          <w:szCs w:val="32"/>
        </w:rPr>
        <w:t>）、党建考核占比10%、综合测评占比</w:t>
      </w:r>
      <w:r>
        <w:rPr>
          <w:rFonts w:ascii="方正仿宋_GBK" w:eastAsia="方正仿宋_GBK"/>
          <w:sz w:val="32"/>
          <w:szCs w:val="32"/>
        </w:rPr>
        <w:t>5%</w:t>
      </w:r>
      <w:r>
        <w:rPr>
          <w:rFonts w:hint="eastAsia" w:ascii="方正仿宋_GBK" w:eastAsia="方正仿宋_GBK"/>
          <w:sz w:val="32"/>
          <w:szCs w:val="32"/>
        </w:rPr>
        <w:t>为计算依据，</w:t>
      </w:r>
      <w:r>
        <w:rPr>
          <w:rFonts w:ascii="方正仿宋_GBK" w:eastAsia="方正仿宋_GBK"/>
          <w:sz w:val="32"/>
          <w:szCs w:val="32"/>
        </w:rPr>
        <w:t>根据年度业绩考核结果兑现，按照完成比例发放</w:t>
      </w:r>
      <w:r>
        <w:rPr>
          <w:rFonts w:hint="eastAsia" w:ascii="方正仿宋_GBK" w:eastAsia="方正仿宋_GBK"/>
          <w:sz w:val="32"/>
          <w:szCs w:val="32"/>
        </w:rPr>
        <w:t>。绩效年薪未确定前，可按照基本年薪预发。</w:t>
      </w:r>
    </w:p>
    <w:p>
      <w:pPr>
        <w:spacing w:line="596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kern w:val="24"/>
          <w:sz w:val="32"/>
          <w:szCs w:val="32"/>
        </w:rPr>
        <w:t>3、采购保供的</w:t>
      </w:r>
      <w:r>
        <w:rPr>
          <w:rFonts w:hint="eastAsia" w:ascii="方正仿宋_GBK" w:eastAsia="方正仿宋_GBK"/>
          <w:sz w:val="32"/>
          <w:szCs w:val="32"/>
        </w:rPr>
        <w:t>营业收入超额提成奖。以统筹采购保供的批发销售营业收入100万元为基数，超额累计提成。具体如下：</w:t>
      </w:r>
    </w:p>
    <w:p>
      <w:pPr>
        <w:spacing w:line="596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（1）年度实际完成值较基数超（低）400万元（含）以内的部分，按（实际完成值-100万元）部分4%提成（或扣减），年度总薪酬上限29万元；</w:t>
      </w:r>
    </w:p>
    <w:p>
      <w:pPr>
        <w:spacing w:line="596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（2）年度实际完成值较基数超（低）800万元（含）以内的</w:t>
      </w:r>
      <w:r>
        <w:rPr>
          <w:rFonts w:ascii="仿宋" w:hAnsi="仿宋" w:eastAsia="仿宋"/>
          <w:sz w:val="32"/>
          <w:szCs w:val="32"/>
        </w:rPr>
        <w:t>部分</w:t>
      </w:r>
      <w:r>
        <w:rPr>
          <w:rFonts w:hint="eastAsia" w:ascii="仿宋" w:hAnsi="仿宋" w:eastAsia="仿宋"/>
          <w:sz w:val="32"/>
          <w:szCs w:val="32"/>
        </w:rPr>
        <w:t>，按（实际完成值-500万元）部分3%提成（或扣减），年度总薪酬上限34万元；</w:t>
      </w:r>
    </w:p>
    <w:p>
      <w:pPr>
        <w:spacing w:line="596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（3）年度实际完成值较基数超（低）1000万元（含）以内的</w:t>
      </w:r>
      <w:r>
        <w:rPr>
          <w:rFonts w:ascii="仿宋" w:hAnsi="仿宋" w:eastAsia="仿宋"/>
          <w:sz w:val="32"/>
          <w:szCs w:val="32"/>
        </w:rPr>
        <w:t>部分</w:t>
      </w:r>
      <w:r>
        <w:rPr>
          <w:rFonts w:hint="eastAsia" w:ascii="仿宋" w:hAnsi="仿宋" w:eastAsia="仿宋"/>
          <w:sz w:val="32"/>
          <w:szCs w:val="32"/>
        </w:rPr>
        <w:t>，按（实际完成值-900万元）部分2%提成（或扣减），年度总薪酬上限36万元；</w:t>
      </w:r>
    </w:p>
    <w:p>
      <w:pPr>
        <w:spacing w:line="596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（4）年度实际完成值较基数超1300万元（含）以内的</w:t>
      </w:r>
      <w:r>
        <w:rPr>
          <w:rFonts w:ascii="仿宋" w:hAnsi="仿宋" w:eastAsia="仿宋"/>
          <w:sz w:val="32"/>
          <w:szCs w:val="32"/>
        </w:rPr>
        <w:t>部分</w:t>
      </w:r>
      <w:r>
        <w:rPr>
          <w:rFonts w:hint="eastAsia" w:ascii="仿宋" w:hAnsi="仿宋" w:eastAsia="仿宋"/>
          <w:sz w:val="32"/>
          <w:szCs w:val="32"/>
        </w:rPr>
        <w:t>，按（实际完成值-1100万元）部分的1.5%提成，年度总薪酬上限40万元；</w:t>
      </w:r>
    </w:p>
    <w:p>
      <w:pPr>
        <w:spacing w:line="596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（5）年度实际完成值较基数超1300万元以上的</w:t>
      </w:r>
      <w:r>
        <w:rPr>
          <w:rFonts w:ascii="仿宋" w:hAnsi="仿宋" w:eastAsia="仿宋"/>
          <w:sz w:val="32"/>
          <w:szCs w:val="32"/>
        </w:rPr>
        <w:t>部分</w:t>
      </w:r>
      <w:r>
        <w:rPr>
          <w:rFonts w:hint="eastAsia" w:ascii="仿宋" w:hAnsi="仿宋" w:eastAsia="仿宋"/>
          <w:sz w:val="32"/>
          <w:szCs w:val="32"/>
        </w:rPr>
        <w:t>，按照（实际完成值-1400万元）部分的0.8%提成，年度总薪酬上限52</w:t>
      </w:r>
      <w:r>
        <w:rPr>
          <w:rFonts w:ascii="仿宋" w:hAnsi="仿宋" w:eastAsia="仿宋"/>
          <w:sz w:val="32"/>
          <w:szCs w:val="32"/>
        </w:rPr>
        <w:t>.5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9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注：采购保供的营业收入超额提成奖，以采购保供的营业收入实际完成值不低于年度目标值70%，且不影响公司利润总额目标值完成为前提。</w:t>
      </w:r>
    </w:p>
    <w:p>
      <w:pPr>
        <w:spacing w:line="596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</w:rPr>
        <w:t>重点工作奖。以税后12万元为限，在年度薪酬总额外顺加。</w:t>
      </w:r>
    </w:p>
    <w:p>
      <w:pPr>
        <w:spacing w:line="59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方正仿宋_GBK"/>
          <w:kern w:val="24"/>
          <w:sz w:val="32"/>
          <w:szCs w:val="32"/>
        </w:rPr>
        <w:t>5、</w:t>
      </w:r>
      <w:r>
        <w:rPr>
          <w:rFonts w:hint="eastAsia" w:ascii="仿宋" w:hAnsi="仿宋" w:eastAsia="仿宋"/>
          <w:sz w:val="32"/>
          <w:szCs w:val="32"/>
        </w:rPr>
        <w:t>任期激励。按绩效年薪和采购保供的营业收入超额提成奖总和的10%,年度扣除（计提），根据任期考核结果兑现。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8F"/>
    <w:rsid w:val="00024B7C"/>
    <w:rsid w:val="000614E5"/>
    <w:rsid w:val="00166C41"/>
    <w:rsid w:val="00182642"/>
    <w:rsid w:val="001A76B7"/>
    <w:rsid w:val="001B32AF"/>
    <w:rsid w:val="002446A6"/>
    <w:rsid w:val="003F769D"/>
    <w:rsid w:val="005E75AF"/>
    <w:rsid w:val="0061408F"/>
    <w:rsid w:val="00695125"/>
    <w:rsid w:val="007375E0"/>
    <w:rsid w:val="00771839"/>
    <w:rsid w:val="007B3794"/>
    <w:rsid w:val="00A96E52"/>
    <w:rsid w:val="00B31558"/>
    <w:rsid w:val="00BF6179"/>
    <w:rsid w:val="00CD22F4"/>
    <w:rsid w:val="00D15783"/>
    <w:rsid w:val="00EF1551"/>
    <w:rsid w:val="00EF63CC"/>
    <w:rsid w:val="00F568E7"/>
    <w:rsid w:val="098938D1"/>
    <w:rsid w:val="108721ED"/>
    <w:rsid w:val="242678BF"/>
    <w:rsid w:val="24F87891"/>
    <w:rsid w:val="35154A6E"/>
    <w:rsid w:val="3BFC5957"/>
    <w:rsid w:val="450D7701"/>
    <w:rsid w:val="4B1D2D6A"/>
    <w:rsid w:val="563A5F37"/>
    <w:rsid w:val="6C3A08E5"/>
    <w:rsid w:val="771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7">
    <w:name w:val="Hyperlink"/>
    <w:basedOn w:val="6"/>
    <w:qFormat/>
    <w:uiPriority w:val="99"/>
    <w:rPr>
      <w:color w:val="0563C1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716</Words>
  <Characters>4083</Characters>
  <Lines>34</Lines>
  <Paragraphs>9</Paragraphs>
  <TotalTime>11</TotalTime>
  <ScaleCrop>false</ScaleCrop>
  <LinksUpToDate>false</LinksUpToDate>
  <CharactersWithSpaces>4790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2021-08-30T05:22:00Z</dcterms:created>
  <dc:creator>张海燕</dc:creator>
  <cp:lastModifiedBy>朗月  繁花</cp:lastModifiedBy>
  <cp:lastPrinted>2021-10-22T00:51:00Z</cp:lastPrinted>
  <dcterms:modified xsi:type="dcterms:W3CDTF">2022-03-18T09:08:08Z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93A6BBA6741949E284D67A0F21AD81B7</vt:lpwstr>
  </property>
  <property fmtid="{D5CDD505-2E9C-101B-9397-08002B2CF9AE}" pid="3" name="KSOProductBuildVer">
    <vt:lpwstr>2052-11.1.0.11365</vt:lpwstr>
  </property>
</Properties>
</file>