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bCs/>
          <w:kern w:val="0"/>
          <w:sz w:val="32"/>
          <w:szCs w:val="32"/>
        </w:rPr>
      </w:pPr>
      <w:bookmarkStart w:id="0" w:name="_GoBack"/>
      <w:r>
        <w:rPr>
          <w:rFonts w:hint="eastAsia" w:ascii="黑体" w:hAnsi="黑体" w:eastAsia="黑体" w:cs="黑体"/>
          <w:bCs/>
          <w:kern w:val="0"/>
          <w:sz w:val="32"/>
          <w:szCs w:val="32"/>
        </w:rPr>
        <w:t>附件2</w:t>
      </w:r>
    </w:p>
    <w:p>
      <w:pPr>
        <w:snapToGrid w:val="0"/>
        <w:jc w:val="center"/>
        <w:rPr>
          <w:rFonts w:cs="方正小标宋简体" w:asciiTheme="majorEastAsia" w:hAnsiTheme="majorEastAsia" w:eastAsiaTheme="majorEastAsia"/>
          <w:b/>
          <w:kern w:val="0"/>
          <w:sz w:val="44"/>
          <w:szCs w:val="44"/>
        </w:rPr>
      </w:pPr>
      <w:r>
        <w:rPr>
          <w:rFonts w:hint="eastAsia" w:cs="方正小标宋简体" w:asciiTheme="majorEastAsia" w:hAnsiTheme="majorEastAsia" w:eastAsiaTheme="majorEastAsia"/>
          <w:b/>
          <w:kern w:val="0"/>
          <w:sz w:val="44"/>
          <w:szCs w:val="44"/>
        </w:rPr>
        <w:t>上海市东方医院吉安医院2022年公开招聘高层次人才职位表</w:t>
      </w:r>
    </w:p>
    <w:bookmarkEnd w:id="0"/>
    <w:tbl>
      <w:tblPr>
        <w:tblStyle w:val="4"/>
        <w:tblW w:w="10065" w:type="dxa"/>
        <w:jc w:val="center"/>
        <w:shd w:val="clear" w:color="auto" w:fill="FFFFFF"/>
        <w:tblLayout w:type="autofit"/>
        <w:tblCellMar>
          <w:top w:w="0" w:type="dxa"/>
          <w:left w:w="0" w:type="dxa"/>
          <w:bottom w:w="0" w:type="dxa"/>
          <w:right w:w="0" w:type="dxa"/>
        </w:tblCellMar>
      </w:tblPr>
      <w:tblGrid>
        <w:gridCol w:w="683"/>
        <w:gridCol w:w="683"/>
        <w:gridCol w:w="485"/>
        <w:gridCol w:w="1925"/>
        <w:gridCol w:w="1328"/>
        <w:gridCol w:w="1843"/>
        <w:gridCol w:w="1417"/>
        <w:gridCol w:w="1701"/>
      </w:tblGrid>
      <w:tr>
        <w:tblPrEx>
          <w:tblCellMar>
            <w:top w:w="0" w:type="dxa"/>
            <w:left w:w="0" w:type="dxa"/>
            <w:bottom w:w="0" w:type="dxa"/>
            <w:right w:w="0" w:type="dxa"/>
          </w:tblCellMar>
        </w:tblPrEx>
        <w:trPr>
          <w:trHeight w:val="463" w:hRule="atLeast"/>
          <w:jc w:val="center"/>
        </w:trPr>
        <w:tc>
          <w:tcPr>
            <w:tcW w:w="136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宋体" w:cs="Times New Roman"/>
                <w:b/>
                <w:kern w:val="0"/>
                <w:szCs w:val="21"/>
              </w:rPr>
            </w:pPr>
            <w:r>
              <w:rPr>
                <w:rFonts w:ascii="Times New Roman" w:hAnsi="宋体" w:eastAsia="宋体" w:cs="Times New Roman"/>
                <w:b/>
                <w:kern w:val="0"/>
                <w:szCs w:val="21"/>
              </w:rPr>
              <w:t>招聘岗位</w:t>
            </w:r>
          </w:p>
        </w:tc>
        <w:tc>
          <w:tcPr>
            <w:tcW w:w="485" w:type="dxa"/>
            <w:vMerge w:val="restart"/>
            <w:tcBorders>
              <w:top w:val="single" w:color="000000" w:sz="6"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宋体" w:cs="Times New Roman"/>
                <w:b/>
                <w:kern w:val="0"/>
                <w:szCs w:val="21"/>
              </w:rPr>
            </w:pPr>
            <w:r>
              <w:rPr>
                <w:rFonts w:ascii="Times New Roman" w:hAnsi="宋体" w:eastAsia="宋体" w:cs="Times New Roman"/>
                <w:b/>
                <w:kern w:val="0"/>
                <w:szCs w:val="21"/>
              </w:rPr>
              <w:t>招聘人数</w:t>
            </w:r>
          </w:p>
        </w:tc>
        <w:tc>
          <w:tcPr>
            <w:tcW w:w="8214" w:type="dxa"/>
            <w:gridSpan w:val="5"/>
            <w:tcBorders>
              <w:top w:val="single" w:color="000000" w:sz="6"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宋体" w:cs="Times New Roman"/>
                <w:b/>
                <w:kern w:val="0"/>
                <w:szCs w:val="21"/>
              </w:rPr>
            </w:pPr>
            <w:r>
              <w:rPr>
                <w:rFonts w:ascii="Times New Roman" w:hAnsi="宋体" w:eastAsia="宋体" w:cs="Times New Roman"/>
                <w:b/>
                <w:kern w:val="0"/>
                <w:szCs w:val="21"/>
              </w:rPr>
              <w:t>岗位条件</w:t>
            </w:r>
          </w:p>
        </w:tc>
      </w:tr>
      <w:tr>
        <w:tblPrEx>
          <w:tblCellMar>
            <w:top w:w="0" w:type="dxa"/>
            <w:left w:w="0" w:type="dxa"/>
            <w:bottom w:w="0" w:type="dxa"/>
            <w:right w:w="0" w:type="dxa"/>
          </w:tblCellMar>
        </w:tblPrEx>
        <w:trPr>
          <w:trHeight w:val="405" w:hRule="atLeast"/>
          <w:jc w:val="center"/>
        </w:trPr>
        <w:tc>
          <w:tcPr>
            <w:tcW w:w="136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Times New Roman" w:hAnsi="Times New Roman" w:eastAsia="仿宋_BG2312" w:cs="Times New Roman"/>
                <w:b/>
                <w:kern w:val="0"/>
                <w:szCs w:val="21"/>
              </w:rPr>
            </w:pPr>
          </w:p>
        </w:tc>
        <w:tc>
          <w:tcPr>
            <w:tcW w:w="485" w:type="dxa"/>
            <w:vMerge w:val="continue"/>
            <w:tcBorders>
              <w:top w:val="single" w:color="000000" w:sz="6" w:space="0"/>
              <w:left w:val="nil"/>
              <w:bottom w:val="single" w:color="000000" w:sz="6" w:space="0"/>
              <w:right w:val="single" w:color="000000" w:sz="6" w:space="0"/>
            </w:tcBorders>
            <w:shd w:val="clear" w:color="auto" w:fill="FFFFFF"/>
            <w:vAlign w:val="center"/>
          </w:tcPr>
          <w:p>
            <w:pPr>
              <w:widowControl/>
              <w:jc w:val="left"/>
              <w:rPr>
                <w:rFonts w:ascii="Times New Roman" w:hAnsi="Times New Roman" w:eastAsia="仿宋_BG2312" w:cs="Times New Roman"/>
                <w:b/>
                <w:kern w:val="0"/>
                <w:szCs w:val="21"/>
              </w:rPr>
            </w:pP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专业</w:t>
            </w:r>
          </w:p>
        </w:tc>
        <w:tc>
          <w:tcPr>
            <w:tcW w:w="1328" w:type="dxa"/>
            <w:tcBorders>
              <w:top w:val="single" w:color="000000" w:sz="6"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学历</w:t>
            </w:r>
          </w:p>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（学位）</w:t>
            </w:r>
          </w:p>
        </w:tc>
        <w:tc>
          <w:tcPr>
            <w:tcW w:w="1843" w:type="dxa"/>
            <w:tcBorders>
              <w:top w:val="single" w:color="000000" w:sz="6"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年龄</w:t>
            </w:r>
          </w:p>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（周岁）</w:t>
            </w:r>
          </w:p>
        </w:tc>
        <w:tc>
          <w:tcPr>
            <w:tcW w:w="1417" w:type="dxa"/>
            <w:tcBorders>
              <w:top w:val="single" w:color="000000" w:sz="6"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其他条件</w:t>
            </w:r>
          </w:p>
        </w:tc>
        <w:tc>
          <w:tcPr>
            <w:tcW w:w="1701" w:type="dxa"/>
            <w:tcBorders>
              <w:top w:val="single" w:color="000000" w:sz="6"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Times New Roman" w:hAnsi="Times New Roman" w:eastAsia="仿宋_BG2312" w:cs="Times New Roman"/>
                <w:b/>
                <w:kern w:val="0"/>
                <w:szCs w:val="21"/>
              </w:rPr>
            </w:pPr>
            <w:r>
              <w:rPr>
                <w:rFonts w:ascii="Times New Roman" w:hAnsi="宋体" w:eastAsia="宋体" w:cs="Times New Roman"/>
                <w:b/>
                <w:kern w:val="0"/>
                <w:szCs w:val="21"/>
              </w:rPr>
              <w:t>备注</w:t>
            </w:r>
          </w:p>
        </w:tc>
      </w:tr>
      <w:tr>
        <w:tblPrEx>
          <w:tblCellMar>
            <w:top w:w="0" w:type="dxa"/>
            <w:left w:w="0" w:type="dxa"/>
            <w:bottom w:w="0" w:type="dxa"/>
            <w:right w:w="0" w:type="dxa"/>
          </w:tblCellMar>
        </w:tblPrEx>
        <w:trPr>
          <w:trHeight w:val="1266" w:hRule="atLeast"/>
          <w:jc w:val="center"/>
        </w:trPr>
        <w:tc>
          <w:tcPr>
            <w:tcW w:w="1366" w:type="dxa"/>
            <w:gridSpan w:val="2"/>
            <w:tcBorders>
              <w:top w:val="nil"/>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风湿免疫科临床医师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内科学</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105101、100201</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 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参加住院医师规范化培训（具有中级职称及以上不做规培要求），限应届毕业生。</w:t>
            </w:r>
          </w:p>
        </w:tc>
      </w:tr>
      <w:tr>
        <w:tblPrEx>
          <w:tblCellMar>
            <w:top w:w="0" w:type="dxa"/>
            <w:left w:w="0" w:type="dxa"/>
            <w:bottom w:w="0" w:type="dxa"/>
            <w:right w:w="0" w:type="dxa"/>
          </w:tblCellMar>
        </w:tblPrEx>
        <w:trPr>
          <w:trHeight w:val="1120" w:hRule="atLeast"/>
          <w:jc w:val="center"/>
        </w:trPr>
        <w:tc>
          <w:tcPr>
            <w:tcW w:w="1366" w:type="dxa"/>
            <w:gridSpan w:val="2"/>
            <w:tcBorders>
              <w:top w:val="nil"/>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神经外科临床医师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 xml:space="preserve">临床医学100201K            </w:t>
            </w: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外科学</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 xml:space="preserve">105109、100210  </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硕士研究生学历且具有中级职称及以上不做规培要求</w:t>
            </w:r>
          </w:p>
        </w:tc>
      </w:tr>
      <w:tr>
        <w:tblPrEx>
          <w:tblCellMar>
            <w:top w:w="0" w:type="dxa"/>
            <w:left w:w="0" w:type="dxa"/>
            <w:bottom w:w="0" w:type="dxa"/>
            <w:right w:w="0" w:type="dxa"/>
          </w:tblCellMar>
        </w:tblPrEx>
        <w:trPr>
          <w:trHeight w:val="1120" w:hRule="atLeast"/>
          <w:jc w:val="center"/>
        </w:trPr>
        <w:tc>
          <w:tcPr>
            <w:tcW w:w="1366" w:type="dxa"/>
            <w:gridSpan w:val="2"/>
            <w:tcBorders>
              <w:top w:val="nil"/>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耳鼻咽喉科临床医师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临床医学100201K</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耳鼻咽喉科学100213、105112</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硕士研究生学历且具有中级职称及以上不做规培要求</w:t>
            </w:r>
          </w:p>
        </w:tc>
      </w:tr>
      <w:tr>
        <w:tblPrEx>
          <w:tblCellMar>
            <w:top w:w="0" w:type="dxa"/>
            <w:left w:w="0" w:type="dxa"/>
            <w:bottom w:w="0" w:type="dxa"/>
            <w:right w:w="0" w:type="dxa"/>
          </w:tblCellMar>
        </w:tblPrEx>
        <w:trPr>
          <w:trHeight w:val="989" w:hRule="atLeast"/>
          <w:jc w:val="center"/>
        </w:trPr>
        <w:tc>
          <w:tcPr>
            <w:tcW w:w="1366" w:type="dxa"/>
            <w:gridSpan w:val="2"/>
            <w:tcBorders>
              <w:top w:val="nil"/>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急诊外科临床医师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 xml:space="preserve">临床医学100201K                    </w:t>
            </w: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外科学</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105109、100210;急诊医学100218、105117   </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硕士研究生学历且具有中级职称及以上不做规培要求</w:t>
            </w:r>
          </w:p>
        </w:tc>
      </w:tr>
      <w:tr>
        <w:tblPrEx>
          <w:tblCellMar>
            <w:top w:w="0" w:type="dxa"/>
            <w:left w:w="0" w:type="dxa"/>
            <w:bottom w:w="0" w:type="dxa"/>
            <w:right w:w="0" w:type="dxa"/>
          </w:tblCellMar>
        </w:tblPrEx>
        <w:trPr>
          <w:trHeight w:val="1120" w:hRule="atLeast"/>
          <w:jc w:val="center"/>
        </w:trPr>
        <w:tc>
          <w:tcPr>
            <w:tcW w:w="1366" w:type="dxa"/>
            <w:gridSpan w:val="2"/>
            <w:tcBorders>
              <w:top w:val="nil"/>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血液科临床医师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肿瘤学</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（血液方向）</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105113、100214</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限应届毕业生。</w:t>
            </w:r>
          </w:p>
        </w:tc>
      </w:tr>
      <w:tr>
        <w:tblPrEx>
          <w:tblCellMar>
            <w:top w:w="0" w:type="dxa"/>
            <w:left w:w="0" w:type="dxa"/>
            <w:bottom w:w="0" w:type="dxa"/>
            <w:right w:w="0" w:type="dxa"/>
          </w:tblCellMar>
        </w:tblPrEx>
        <w:trPr>
          <w:trHeight w:val="1662" w:hRule="atLeast"/>
          <w:jc w:val="center"/>
        </w:trPr>
        <w:tc>
          <w:tcPr>
            <w:tcW w:w="1366" w:type="dxa"/>
            <w:gridSpan w:val="2"/>
            <w:tcBorders>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医学影像科诊断医师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医学影像学100203TK、临床医学100201K</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影像医学与核医学100207、105107</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硕士研究生学历不做规培要求</w:t>
            </w:r>
          </w:p>
        </w:tc>
      </w:tr>
      <w:tr>
        <w:tblPrEx>
          <w:tblCellMar>
            <w:top w:w="0" w:type="dxa"/>
            <w:left w:w="0" w:type="dxa"/>
            <w:bottom w:w="0" w:type="dxa"/>
            <w:right w:w="0" w:type="dxa"/>
          </w:tblCellMar>
        </w:tblPrEx>
        <w:trPr>
          <w:trHeight w:val="1750" w:hRule="atLeast"/>
          <w:jc w:val="center"/>
        </w:trPr>
        <w:tc>
          <w:tcPr>
            <w:tcW w:w="1366" w:type="dxa"/>
            <w:gridSpan w:val="2"/>
            <w:tcBorders>
              <w:top w:val="nil"/>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病理科临床医师</w:t>
            </w:r>
          </w:p>
        </w:tc>
        <w:tc>
          <w:tcPr>
            <w:tcW w:w="485" w:type="dxa"/>
            <w:tcBorders>
              <w:top w:val="nil"/>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临床医学100201K</w:t>
            </w:r>
          </w:p>
          <w:p>
            <w:pPr>
              <w:widowControl/>
              <w:adjustRightInd w:val="0"/>
              <w:snapToGrid w:val="0"/>
              <w:spacing w:line="280" w:lineRule="exact"/>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病理学与病理生理学100104、临床病理学105128</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硕士研究生学历不做规培要求，限应届毕业生。</w:t>
            </w:r>
          </w:p>
        </w:tc>
      </w:tr>
      <w:tr>
        <w:tblPrEx>
          <w:tblCellMar>
            <w:top w:w="0" w:type="dxa"/>
            <w:left w:w="0" w:type="dxa"/>
            <w:bottom w:w="0" w:type="dxa"/>
            <w:right w:w="0" w:type="dxa"/>
          </w:tblCellMar>
        </w:tblPrEx>
        <w:trPr>
          <w:trHeight w:val="1700"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普外科临床医师</w:t>
            </w:r>
          </w:p>
        </w:tc>
        <w:tc>
          <w:tcPr>
            <w:tcW w:w="48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 xml:space="preserve">临床医学100201K                    </w:t>
            </w: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外科学</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105109、100210</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硕士研究生学历且具有中级职称及以上不做规培要求，限应届毕业生。</w:t>
            </w:r>
          </w:p>
        </w:tc>
      </w:tr>
      <w:tr>
        <w:tblPrEx>
          <w:tblCellMar>
            <w:top w:w="0" w:type="dxa"/>
            <w:left w:w="0" w:type="dxa"/>
            <w:bottom w:w="0" w:type="dxa"/>
            <w:right w:w="0" w:type="dxa"/>
          </w:tblCellMar>
        </w:tblPrEx>
        <w:trPr>
          <w:trHeight w:val="1440"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消化内科临床医师</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研究生：内科学</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105101、100201</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参加住院医师规范化培训（具有中级职称及以上不做规培要求），限应届毕业生。</w:t>
            </w:r>
          </w:p>
        </w:tc>
      </w:tr>
      <w:tr>
        <w:tblPrEx>
          <w:tblCellMar>
            <w:top w:w="0" w:type="dxa"/>
            <w:left w:w="0" w:type="dxa"/>
            <w:bottom w:w="0" w:type="dxa"/>
            <w:right w:w="0" w:type="dxa"/>
          </w:tblCellMar>
        </w:tblPrEx>
        <w:trPr>
          <w:trHeight w:val="1097" w:hRule="atLeast"/>
          <w:jc w:val="center"/>
        </w:trPr>
        <w:tc>
          <w:tcPr>
            <w:tcW w:w="683" w:type="dxa"/>
            <w:vMerge w:val="restart"/>
            <w:tcBorders>
              <w:top w:val="single" w:color="auto" w:sz="4" w:space="0"/>
              <w:left w:val="single" w:color="000000" w:sz="6" w:space="0"/>
              <w:right w:val="single" w:color="000000" w:sz="6" w:space="0"/>
            </w:tcBorders>
            <w:shd w:val="clear" w:color="auto" w:fill="FFFFFF"/>
            <w:tcMar>
              <w:top w:w="0" w:type="dxa"/>
              <w:left w:w="90" w:type="dxa"/>
              <w:bottom w:w="0" w:type="dxa"/>
              <w:right w:w="90" w:type="dxa"/>
            </w:tcMar>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急诊内科临床医师</w:t>
            </w:r>
          </w:p>
        </w:tc>
        <w:tc>
          <w:tcPr>
            <w:tcW w:w="683" w:type="dxa"/>
            <w:tcBorders>
              <w:top w:val="nil"/>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岗位1</w:t>
            </w:r>
          </w:p>
        </w:tc>
        <w:tc>
          <w:tcPr>
            <w:tcW w:w="48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临床医学100201K</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研究生：</w:t>
            </w:r>
            <w:r>
              <w:rPr>
                <w:rFonts w:hint="eastAsia" w:ascii="仿宋_GB2312" w:hAnsi="仿宋_GB2312" w:eastAsia="仿宋_GB2312" w:cs="仿宋_GB2312"/>
                <w:kern w:val="0"/>
                <w:szCs w:val="21"/>
              </w:rPr>
              <w:t xml:space="preserve">内科学105101、100201急诊医学100218、105117   </w:t>
            </w:r>
          </w:p>
        </w:tc>
        <w:tc>
          <w:tcPr>
            <w:tcW w:w="1328"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45周岁及以下（1977年1月1日以后出生）</w:t>
            </w:r>
          </w:p>
        </w:tc>
        <w:tc>
          <w:tcPr>
            <w:tcW w:w="1417"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具备副主任医师以上职称、具有执业医师资格证。</w:t>
            </w:r>
          </w:p>
        </w:tc>
        <w:tc>
          <w:tcPr>
            <w:tcW w:w="1701" w:type="dxa"/>
            <w:tcBorders>
              <w:top w:val="nil"/>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p>
        </w:tc>
      </w:tr>
      <w:tr>
        <w:tblPrEx>
          <w:tblCellMar>
            <w:top w:w="0" w:type="dxa"/>
            <w:left w:w="0" w:type="dxa"/>
            <w:bottom w:w="0" w:type="dxa"/>
            <w:right w:w="0" w:type="dxa"/>
          </w:tblCellMar>
        </w:tblPrEx>
        <w:trPr>
          <w:trHeight w:val="1257" w:hRule="atLeast"/>
          <w:jc w:val="center"/>
        </w:trPr>
        <w:tc>
          <w:tcPr>
            <w:tcW w:w="683" w:type="dxa"/>
            <w:vMerge w:val="continue"/>
            <w:tcBorders>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p>
        </w:tc>
        <w:tc>
          <w:tcPr>
            <w:tcW w:w="683" w:type="dxa"/>
            <w:tcBorders>
              <w:top w:val="single" w:color="auto" w:sz="4"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岗位2</w:t>
            </w:r>
          </w:p>
        </w:tc>
        <w:tc>
          <w:tcPr>
            <w:tcW w:w="48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临床医学100201K</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内科学</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105101、100201急诊医学100218、105117   </w:t>
            </w:r>
          </w:p>
        </w:tc>
        <w:tc>
          <w:tcPr>
            <w:tcW w:w="1328"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硕士研究生学历不做规培要求</w:t>
            </w:r>
          </w:p>
        </w:tc>
      </w:tr>
      <w:tr>
        <w:tblPrEx>
          <w:tblCellMar>
            <w:top w:w="0" w:type="dxa"/>
            <w:left w:w="0" w:type="dxa"/>
            <w:bottom w:w="0" w:type="dxa"/>
            <w:right w:w="0" w:type="dxa"/>
          </w:tblCellMar>
        </w:tblPrEx>
        <w:trPr>
          <w:trHeight w:val="1278" w:hRule="atLeast"/>
          <w:jc w:val="center"/>
        </w:trPr>
        <w:tc>
          <w:tcPr>
            <w:tcW w:w="683" w:type="dxa"/>
            <w:vMerge w:val="restart"/>
            <w:tcBorders>
              <w:top w:val="single" w:color="auto" w:sz="4" w:space="0"/>
              <w:left w:val="single" w:color="000000" w:sz="6" w:space="0"/>
              <w:right w:val="single" w:color="000000" w:sz="6" w:space="0"/>
            </w:tcBorders>
            <w:shd w:val="clear" w:color="auto" w:fill="FFFFFF"/>
            <w:tcMar>
              <w:top w:w="0" w:type="dxa"/>
              <w:left w:w="90" w:type="dxa"/>
              <w:bottom w:w="0" w:type="dxa"/>
              <w:right w:w="90" w:type="dxa"/>
            </w:tcMar>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泌尿外科临床医师</w:t>
            </w:r>
          </w:p>
        </w:tc>
        <w:tc>
          <w:tcPr>
            <w:tcW w:w="683" w:type="dxa"/>
            <w:tcBorders>
              <w:top w:val="single" w:color="auto" w:sz="4"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岗位1</w:t>
            </w:r>
          </w:p>
        </w:tc>
        <w:tc>
          <w:tcPr>
            <w:tcW w:w="48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外科学</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105109、100210</w:t>
            </w:r>
          </w:p>
        </w:tc>
        <w:tc>
          <w:tcPr>
            <w:tcW w:w="1328"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参加住院医师规范化培训（具有中级职称及以上不做规培要求），限应届毕业生。</w:t>
            </w:r>
          </w:p>
        </w:tc>
      </w:tr>
      <w:tr>
        <w:tblPrEx>
          <w:tblCellMar>
            <w:top w:w="0" w:type="dxa"/>
            <w:left w:w="0" w:type="dxa"/>
            <w:bottom w:w="0" w:type="dxa"/>
            <w:right w:w="0" w:type="dxa"/>
          </w:tblCellMar>
        </w:tblPrEx>
        <w:trPr>
          <w:trHeight w:val="1238" w:hRule="atLeast"/>
          <w:jc w:val="center"/>
        </w:trPr>
        <w:tc>
          <w:tcPr>
            <w:tcW w:w="683" w:type="dxa"/>
            <w:vMerge w:val="continue"/>
            <w:tcBorders>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p>
        </w:tc>
        <w:tc>
          <w:tcPr>
            <w:tcW w:w="683" w:type="dxa"/>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岗位2</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 xml:space="preserve">临床医学100201K            </w:t>
            </w:r>
            <w:r>
              <w:rPr>
                <w:rFonts w:hint="eastAsia" w:ascii="仿宋_GB2312" w:hAnsi="仿宋_GB2312" w:eastAsia="仿宋_GB2312" w:cs="仿宋_GB2312"/>
                <w:b/>
                <w:kern w:val="0"/>
                <w:szCs w:val="21"/>
              </w:rPr>
              <w:t xml:space="preserve">硕士： </w:t>
            </w:r>
            <w:r>
              <w:rPr>
                <w:rFonts w:hint="eastAsia" w:ascii="仿宋_GB2312" w:hAnsi="仿宋_GB2312" w:eastAsia="仿宋_GB2312" w:cs="仿宋_GB2312"/>
                <w:kern w:val="0"/>
                <w:szCs w:val="21"/>
              </w:rPr>
              <w:t xml:space="preserve">外科学100210、105109            </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硕士研究生学历且具有中级职称及以上不做规培要求，</w:t>
            </w:r>
          </w:p>
        </w:tc>
      </w:tr>
      <w:tr>
        <w:tblPrEx>
          <w:tblCellMar>
            <w:top w:w="0" w:type="dxa"/>
            <w:left w:w="0" w:type="dxa"/>
            <w:bottom w:w="0" w:type="dxa"/>
            <w:right w:w="0" w:type="dxa"/>
          </w:tblCellMar>
        </w:tblPrEx>
        <w:trPr>
          <w:trHeight w:val="1292" w:hRule="atLeast"/>
          <w:jc w:val="center"/>
        </w:trPr>
        <w:tc>
          <w:tcPr>
            <w:tcW w:w="683" w:type="dxa"/>
            <w:vMerge w:val="restart"/>
            <w:tcBorders>
              <w:top w:val="single" w:color="auto" w:sz="4" w:space="0"/>
              <w:left w:val="single" w:color="000000" w:sz="6" w:space="0"/>
              <w:right w:val="single" w:color="000000" w:sz="6" w:space="0"/>
            </w:tcBorders>
            <w:shd w:val="clear" w:color="auto" w:fill="FFFFFF"/>
            <w:tcMar>
              <w:top w:w="0" w:type="dxa"/>
              <w:left w:w="90" w:type="dxa"/>
              <w:bottom w:w="0" w:type="dxa"/>
              <w:right w:w="90" w:type="dxa"/>
            </w:tcMar>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麻醉科临床医师</w:t>
            </w:r>
          </w:p>
        </w:tc>
        <w:tc>
          <w:tcPr>
            <w:tcW w:w="683" w:type="dxa"/>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岗位1</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麻醉学专业</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105116、100217</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参加住院医师规范化培训（具有中级职称及以上不做规培要求），限应届毕业生。</w:t>
            </w:r>
          </w:p>
        </w:tc>
      </w:tr>
      <w:tr>
        <w:tblPrEx>
          <w:tblCellMar>
            <w:top w:w="0" w:type="dxa"/>
            <w:left w:w="0" w:type="dxa"/>
            <w:bottom w:w="0" w:type="dxa"/>
            <w:right w:w="0" w:type="dxa"/>
          </w:tblCellMar>
        </w:tblPrEx>
        <w:trPr>
          <w:trHeight w:val="1292" w:hRule="atLeast"/>
          <w:jc w:val="center"/>
        </w:trPr>
        <w:tc>
          <w:tcPr>
            <w:tcW w:w="683" w:type="dxa"/>
            <w:vMerge w:val="continue"/>
            <w:tcBorders>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p>
        </w:tc>
        <w:tc>
          <w:tcPr>
            <w:tcW w:w="683" w:type="dxa"/>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岗位2</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 xml:space="preserve">麻醉学100202TK         </w:t>
            </w: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麻醉学专业105116、100217</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p>
        </w:tc>
      </w:tr>
      <w:tr>
        <w:tblPrEx>
          <w:tblCellMar>
            <w:top w:w="0" w:type="dxa"/>
            <w:left w:w="0" w:type="dxa"/>
            <w:bottom w:w="0" w:type="dxa"/>
            <w:right w:w="0" w:type="dxa"/>
          </w:tblCellMar>
        </w:tblPrEx>
        <w:trPr>
          <w:trHeight w:val="1211" w:hRule="atLeast"/>
          <w:jc w:val="center"/>
        </w:trPr>
        <w:tc>
          <w:tcPr>
            <w:tcW w:w="1366" w:type="dxa"/>
            <w:gridSpan w:val="2"/>
            <w:tcBorders>
              <w:top w:val="single" w:color="auto" w:sz="4" w:space="0"/>
              <w:left w:val="single" w:color="000000" w:sz="6" w:space="0"/>
              <w:right w:val="single" w:color="000000" w:sz="6" w:space="0"/>
            </w:tcBorders>
            <w:shd w:val="clear" w:color="auto" w:fill="FFFFFF"/>
            <w:tcMar>
              <w:top w:w="0" w:type="dxa"/>
              <w:left w:w="90" w:type="dxa"/>
              <w:bottom w:w="0" w:type="dxa"/>
              <w:right w:w="90" w:type="dxa"/>
            </w:tcMar>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呼吸内科临床医师</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内科学</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105101、100201</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参加住院医师规范化培训（具有中级职称及以上不做规培要求），限应届毕业生。</w:t>
            </w:r>
          </w:p>
        </w:tc>
      </w:tr>
      <w:tr>
        <w:tblPrEx>
          <w:tblCellMar>
            <w:top w:w="0" w:type="dxa"/>
            <w:left w:w="0" w:type="dxa"/>
            <w:bottom w:w="0" w:type="dxa"/>
            <w:right w:w="0" w:type="dxa"/>
          </w:tblCellMar>
        </w:tblPrEx>
        <w:trPr>
          <w:trHeight w:val="1128"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医学检验科检验技师</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临床检验诊断学105108、100208</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具有相关从业资格证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限应届毕业生。</w:t>
            </w:r>
          </w:p>
        </w:tc>
      </w:tr>
      <w:tr>
        <w:tblPrEx>
          <w:tblCellMar>
            <w:top w:w="0" w:type="dxa"/>
            <w:left w:w="0" w:type="dxa"/>
            <w:bottom w:w="0" w:type="dxa"/>
            <w:right w:w="0" w:type="dxa"/>
          </w:tblCellMar>
        </w:tblPrEx>
        <w:trPr>
          <w:trHeight w:val="1341"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心外科临床医师</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 xml:space="preserve">临床医学100201K            </w:t>
            </w: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外科学</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100210、105109</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具有执业医师资格证和规培证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硕士研究生学历且具有中级职称及以上不做规培要求</w:t>
            </w:r>
          </w:p>
        </w:tc>
      </w:tr>
      <w:tr>
        <w:tblPrEx>
          <w:tblCellMar>
            <w:top w:w="0" w:type="dxa"/>
            <w:left w:w="0" w:type="dxa"/>
            <w:bottom w:w="0" w:type="dxa"/>
            <w:right w:w="0" w:type="dxa"/>
          </w:tblCellMar>
        </w:tblPrEx>
        <w:trPr>
          <w:trHeight w:val="1341"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骨科临床医师</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外科学</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100210、105109</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参加住院医师规范化培训（具有中级职称及以上不做规培要求），限应届毕业生。</w:t>
            </w:r>
          </w:p>
        </w:tc>
      </w:tr>
      <w:tr>
        <w:tblPrEx>
          <w:tblCellMar>
            <w:top w:w="0" w:type="dxa"/>
            <w:left w:w="0" w:type="dxa"/>
            <w:bottom w:w="0" w:type="dxa"/>
            <w:right w:w="0" w:type="dxa"/>
          </w:tblCellMar>
        </w:tblPrEx>
        <w:trPr>
          <w:trHeight w:val="1341"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口腔科临床医师</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口腔医学100301K</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口腔医学</w:t>
            </w:r>
          </w:p>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1052、1003</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大学本科及以上</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具有执业医师资格证、规培证。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硕士研究生学历不做规培要求</w:t>
            </w:r>
          </w:p>
        </w:tc>
      </w:tr>
      <w:tr>
        <w:tblPrEx>
          <w:tblCellMar>
            <w:top w:w="0" w:type="dxa"/>
            <w:left w:w="0" w:type="dxa"/>
            <w:bottom w:w="0" w:type="dxa"/>
            <w:right w:w="0" w:type="dxa"/>
          </w:tblCellMar>
        </w:tblPrEx>
        <w:trPr>
          <w:trHeight w:val="1237" w:hRule="atLeast"/>
          <w:jc w:val="center"/>
        </w:trPr>
        <w:tc>
          <w:tcPr>
            <w:tcW w:w="1366" w:type="dxa"/>
            <w:gridSpan w:val="2"/>
            <w:tcBorders>
              <w:top w:val="single" w:color="auto" w:sz="4" w:space="0"/>
              <w:left w:val="single" w:color="000000" w:sz="6" w:space="0"/>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康复科临床医师</w:t>
            </w:r>
          </w:p>
        </w:tc>
        <w:tc>
          <w:tcPr>
            <w:tcW w:w="48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本科：</w:t>
            </w:r>
            <w:r>
              <w:rPr>
                <w:rFonts w:hint="eastAsia" w:ascii="仿宋_GB2312" w:hAnsi="仿宋_GB2312" w:eastAsia="仿宋_GB2312" w:cs="仿宋_GB2312"/>
                <w:kern w:val="0"/>
                <w:szCs w:val="21"/>
              </w:rPr>
              <w:t>中医学100501K；针灸推拿学100502K</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rPr>
              <w:t>硕士：</w:t>
            </w:r>
            <w:r>
              <w:rPr>
                <w:rFonts w:hint="eastAsia" w:ascii="仿宋_GB2312" w:hAnsi="仿宋_GB2312" w:eastAsia="仿宋_GB2312" w:cs="仿宋_GB2312"/>
                <w:kern w:val="0"/>
                <w:szCs w:val="21"/>
              </w:rPr>
              <w:t>康复医学与理疗学100215 ；针灸推拿学100512、105124；康复医学与理疗学105114</w:t>
            </w:r>
          </w:p>
        </w:tc>
        <w:tc>
          <w:tcPr>
            <w:tcW w:w="1328"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研究生学历，硕士学位及以上。或本科学历需取得副高及以上职称</w:t>
            </w:r>
          </w:p>
        </w:tc>
        <w:tc>
          <w:tcPr>
            <w:tcW w:w="1843"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35周岁及以下（1987年1月1日以后出生），副主任医师及以上放宽至45周岁</w:t>
            </w:r>
          </w:p>
        </w:tc>
        <w:tc>
          <w:tcPr>
            <w:tcW w:w="1417"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具有执业医师资格证</w:t>
            </w:r>
          </w:p>
        </w:tc>
        <w:tc>
          <w:tcPr>
            <w:tcW w:w="1701" w:type="dxa"/>
            <w:tcBorders>
              <w:top w:val="single" w:color="auto" w:sz="4" w:space="0"/>
              <w:left w:val="nil"/>
              <w:bottom w:val="single" w:color="auto" w:sz="4"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参加住院医师规范化培训（具有中级职称及以上不做规培要求）</w:t>
            </w:r>
          </w:p>
        </w:tc>
      </w:tr>
      <w:tr>
        <w:tblPrEx>
          <w:tblCellMar>
            <w:top w:w="0" w:type="dxa"/>
            <w:left w:w="0" w:type="dxa"/>
            <w:bottom w:w="0" w:type="dxa"/>
            <w:right w:w="0" w:type="dxa"/>
          </w:tblCellMar>
        </w:tblPrEx>
        <w:trPr>
          <w:trHeight w:val="1305" w:hRule="atLeast"/>
          <w:jc w:val="center"/>
        </w:trPr>
        <w:tc>
          <w:tcPr>
            <w:tcW w:w="1366" w:type="dxa"/>
            <w:gridSpan w:val="2"/>
            <w:tcBorders>
              <w:top w:val="single" w:color="auto" w:sz="4" w:space="0"/>
              <w:left w:val="single" w:color="000000" w:sz="6" w:space="0"/>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护理岗</w:t>
            </w:r>
          </w:p>
        </w:tc>
        <w:tc>
          <w:tcPr>
            <w:tcW w:w="48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1人</w:t>
            </w:r>
          </w:p>
        </w:tc>
        <w:tc>
          <w:tcPr>
            <w:tcW w:w="1925"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护理学1011、105129、护理1054</w:t>
            </w:r>
          </w:p>
        </w:tc>
        <w:tc>
          <w:tcPr>
            <w:tcW w:w="1328"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研究生学历，硕士学位及以上。</w:t>
            </w:r>
          </w:p>
        </w:tc>
        <w:tc>
          <w:tcPr>
            <w:tcW w:w="1843"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35周岁及以下（1987年1月1日以后出生）</w:t>
            </w:r>
          </w:p>
        </w:tc>
        <w:tc>
          <w:tcPr>
            <w:tcW w:w="1417"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具有护士执业证、资格证</w:t>
            </w:r>
          </w:p>
        </w:tc>
        <w:tc>
          <w:tcPr>
            <w:tcW w:w="1701" w:type="dxa"/>
            <w:tcBorders>
              <w:top w:val="single" w:color="auto" w:sz="4" w:space="0"/>
              <w:left w:val="nil"/>
              <w:bottom w:val="single" w:color="000000" w:sz="6" w:space="0"/>
              <w:right w:val="single" w:color="000000" w:sz="6" w:space="0"/>
            </w:tcBorders>
            <w:shd w:val="clear" w:color="auto" w:fill="FFFFFF"/>
            <w:tcMar>
              <w:top w:w="0" w:type="dxa"/>
              <w:left w:w="90" w:type="dxa"/>
              <w:bottom w:w="0" w:type="dxa"/>
              <w:right w:w="90" w:type="dxa"/>
            </w:tcMar>
            <w:vAlign w:val="center"/>
          </w:tcPr>
          <w:p>
            <w:pPr>
              <w:widowControl/>
              <w:rPr>
                <w:rFonts w:ascii="仿宋_GB2312" w:hAnsi="仿宋_GB2312" w:eastAsia="仿宋_GB2312" w:cs="仿宋_GB2312"/>
                <w:kern w:val="0"/>
                <w:szCs w:val="21"/>
              </w:rPr>
            </w:pPr>
          </w:p>
        </w:tc>
      </w:tr>
    </w:tbl>
    <w:p>
      <w:pPr>
        <w:adjustRightInd w:val="0"/>
        <w:snapToGrid w:val="0"/>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注：</w:t>
      </w:r>
      <w:r>
        <w:rPr>
          <w:rFonts w:hint="eastAsia" w:ascii="仿宋_GB2312" w:hAnsi="仿宋_GB2312" w:eastAsia="仿宋_GB2312" w:cs="仿宋_GB2312"/>
          <w:sz w:val="32"/>
          <w:szCs w:val="32"/>
        </w:rPr>
        <w:t>1．本公告中招聘的岗位，2022届毕业生、历届毕业生、2022年结业的规培生及在职人员均可报考，本科学历的在职人员报考需提供具有三级医院及以上工作经历的相关证明材料；</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2．2022年规培结业的考生视为应届毕业生；</w:t>
      </w:r>
    </w:p>
    <w:p>
      <w:pPr>
        <w:adjustRightInd w:val="0"/>
        <w:snapToGrid w:val="0"/>
        <w:spacing w:line="500" w:lineRule="exact"/>
        <w:ind w:firstLine="800" w:firstLineChars="250"/>
        <w:rPr>
          <w:rFonts w:ascii="方正小标宋简体" w:hAnsi="方正小标宋简体" w:eastAsia="方正小标宋简体" w:cs="方正小标宋简体"/>
          <w:b/>
          <w:kern w:val="0"/>
          <w:sz w:val="44"/>
          <w:szCs w:val="44"/>
        </w:rPr>
      </w:pPr>
      <w:r>
        <w:rPr>
          <w:rFonts w:hint="eastAsia" w:ascii="仿宋_GB2312" w:hAnsi="仿宋_GB2312" w:eastAsia="仿宋_GB2312" w:cs="仿宋_GB2312"/>
          <w:sz w:val="32"/>
          <w:szCs w:val="32"/>
        </w:rPr>
        <w:t>3．本次招聘的</w:t>
      </w:r>
      <w:r>
        <w:rPr>
          <w:rFonts w:hint="eastAsia" w:ascii="仿宋_GB2312" w:hAnsi="仿宋_GB2312" w:eastAsia="仿宋_GB2312" w:cs="仿宋_GB2312"/>
          <w:sz w:val="32"/>
          <w:szCs w:val="32"/>
          <w:u w:val="single"/>
        </w:rPr>
        <w:t>22</w:t>
      </w:r>
      <w:r>
        <w:rPr>
          <w:rFonts w:hint="eastAsia" w:ascii="仿宋_GB2312" w:hAnsi="仿宋_GB2312" w:eastAsia="仿宋_GB2312" w:cs="仿宋_GB2312"/>
          <w:sz w:val="32"/>
          <w:szCs w:val="32"/>
        </w:rPr>
        <w:t>名人员均为市直事业单位编制。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F00BC"/>
    <w:rsid w:val="000C43E7"/>
    <w:rsid w:val="005D266B"/>
    <w:rsid w:val="006103B8"/>
    <w:rsid w:val="006B3BE7"/>
    <w:rsid w:val="00BC417C"/>
    <w:rsid w:val="00D91909"/>
    <w:rsid w:val="00DA6164"/>
    <w:rsid w:val="00F42AE9"/>
    <w:rsid w:val="055C7514"/>
    <w:rsid w:val="0F43194F"/>
    <w:rsid w:val="5F0F00BC"/>
    <w:rsid w:val="66BC0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2138</Words>
  <Characters>786</Characters>
  <Lines>6</Lines>
  <Paragraphs>5</Paragraphs>
  <TotalTime>0</TotalTime>
  <ScaleCrop>false</ScaleCrop>
  <LinksUpToDate>false</LinksUpToDate>
  <CharactersWithSpaces>2919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2022-04-12T08:24:00Z</dcterms:created>
  <dc:creator>Run</dc:creator>
  <cp:lastModifiedBy>陶卫平</cp:lastModifiedBy>
  <cp:lastPrinted>2022-03-07T05:48:00Z</cp:lastPrinted>
  <dcterms:modified xsi:type="dcterms:W3CDTF">2022-04-12T08:29:12Z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