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pPr>
      <w:r>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t>周口职业技术学院</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pPr>
      <w:r>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t>202</w:t>
      </w:r>
      <w:r>
        <w:rPr>
          <w:rFonts w:hint="eastAsia" w:ascii="方正小标宋_GBK" w:hAnsi="方正小标宋_GBK" w:eastAsia="方正小标宋_GBK" w:cs="方正小标宋_GBK"/>
          <w:color w:val="000000" w:themeColor="text1"/>
          <w:kern w:val="36"/>
          <w:sz w:val="44"/>
          <w:szCs w:val="44"/>
          <w:lang w:val="en-US" w:eastAsia="zh-CN"/>
          <w14:textFill>
            <w14:solidFill>
              <w14:schemeClr w14:val="tx1"/>
            </w14:solidFill>
          </w14:textFill>
        </w:rPr>
        <w:t>2</w:t>
      </w:r>
      <w:r>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t>年人才引进公告</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根据《河南省事业单位招才引智“绿色通道”实施细则》《周口市事业单位引进优秀青年人才实施办法（试行）》精神，结合我校人才需求实际情况，现公开引进高层次人才26名，特公告如下。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一、学院简介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周口职业技术学院是2001年4月经河南省人民政府批准、国家教育部备案，周口市市属全日制公办高等职业院校。现有中州、开元、文昌三个校区，校园占地面积1655亩，总建筑面积32万平方米，固定资产总值6.8亿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学校现有13个二级教学院部和1所附属医院，开设有61个全日制高职专业、12个五年制大专专业和32个中职专业，涵盖理、工、农、医、经、管、文、艺8大学科门类；在校生20000余人。现有在岗教职工914人，其中：正高级职称18人，副高级职称教师174人，省市级专业学术带头人51人，博士后研究生1人，博士及在读博士研究生13人，硕士研究生349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学校先后荣获“河南省示范性高职院校”“河南省高等职业教育品牌示范学校”“国家级高技能人才培训基地”“河南省文明校园（标兵）”“河南省优质高等职业院校”“河南省高等职业学校高水平专业群建设单位”等多项荣誉称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二、应聘条件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（一）具有中华人民共和国国籍，遵纪守法，身心健康，品行端正，廉洁奉公，具备岗位所需的综合素质、专业技能及身体条件；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val="en-US" w:eastAsia="zh-CN"/>
        </w:rPr>
        <w:t>取得</w:t>
      </w:r>
      <w:r>
        <w:rPr>
          <w:rFonts w:hint="eastAsia" w:ascii="仿宋_GB2312" w:eastAsia="仿宋_GB2312"/>
          <w:sz w:val="32"/>
          <w:szCs w:val="32"/>
        </w:rPr>
        <w:t>统招硕士研究生及以上</w:t>
      </w:r>
      <w:r>
        <w:rPr>
          <w:rFonts w:hint="eastAsia" w:ascii="仿宋_GB2312" w:eastAsia="仿宋_GB2312"/>
          <w:sz w:val="32"/>
          <w:szCs w:val="32"/>
          <w:lang w:val="en-US" w:eastAsia="zh-CN"/>
        </w:rPr>
        <w:t>学历和学位</w:t>
      </w:r>
      <w:r>
        <w:rPr>
          <w:rFonts w:hint="eastAsia" w:ascii="仿宋_GB2312" w:eastAsia="仿宋_GB2312"/>
          <w:sz w:val="32"/>
          <w:szCs w:val="32"/>
        </w:rPr>
        <w:t>或具有副教授（副主任医师）及以上职称的高层次人才（国家教育部留学服务中心认证的海外硕士研究生必须</w:t>
      </w:r>
      <w:r>
        <w:rPr>
          <w:rFonts w:hint="eastAsia" w:ascii="仿宋_GB2312" w:eastAsia="仿宋_GB2312"/>
          <w:sz w:val="32"/>
          <w:szCs w:val="32"/>
          <w:lang w:val="en-US" w:eastAsia="zh-CN"/>
        </w:rPr>
        <w:t>为</w:t>
      </w:r>
      <w:r>
        <w:rPr>
          <w:rFonts w:hint="eastAsia" w:ascii="仿宋_GB2312" w:eastAsia="仿宋_GB2312"/>
          <w:sz w:val="32"/>
          <w:szCs w:val="32"/>
        </w:rPr>
        <w:t>全日制</w:t>
      </w:r>
      <w:r>
        <w:rPr>
          <w:rFonts w:hint="eastAsia" w:ascii="仿宋_GB2312" w:eastAsia="仿宋_GB2312"/>
          <w:sz w:val="32"/>
          <w:szCs w:val="32"/>
          <w:lang w:val="en-US" w:eastAsia="zh-CN"/>
        </w:rPr>
        <w:t>学制</w:t>
      </w:r>
      <w:r>
        <w:rPr>
          <w:rFonts w:hint="eastAsia" w:ascii="仿宋_GB2312" w:eastAsia="仿宋_GB2312"/>
          <w:sz w:val="32"/>
          <w:szCs w:val="32"/>
        </w:rPr>
        <w:t>,且本科毕业院校须为国内高校，并取得国内高校全日制本科学历</w:t>
      </w:r>
      <w:r>
        <w:rPr>
          <w:rFonts w:hint="eastAsia" w:ascii="仿宋_GB2312" w:eastAsia="仿宋_GB2312"/>
          <w:sz w:val="32"/>
          <w:szCs w:val="32"/>
          <w:lang w:val="en-US" w:eastAsia="zh-CN"/>
        </w:rPr>
        <w:t>和</w:t>
      </w:r>
      <w:r>
        <w:rPr>
          <w:rFonts w:hint="eastAsia" w:ascii="仿宋_GB2312" w:eastAsia="仿宋_GB2312"/>
          <w:sz w:val="32"/>
          <w:szCs w:val="32"/>
        </w:rPr>
        <w:t>学位）;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（三）一流大学建设高校统招硕士研究生，一流学科建设高校中对应一流学科专业统招硕士研究生，QS世界大学综合排名前300名高校统招硕士研究生优先；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（四）统招硕士研究生须在2022年7月31日前取得相应毕业证书和学位证书（博士研究生毕业时间可放宽到2022年12月31日），且原则上要求第一学历应为全日制本科（“211”“985”工程建设院校毕业生优先）。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年龄要求：统招硕士研究生的年龄为35周岁以下；博士研究生年龄为40周岁以下；具有副教授（副主任医师）职称人员年龄为45周岁以下；具有正高职称人员，年龄在50周岁以下。（年龄、工作经历计算时间截至2022年 5月 31日）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（六）具备岗位要求的其他资格条件。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（七）有下列情形之一的人员不能报名：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1.周口市内机关事业单位在编人员；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2.曾因犯罪受过刑事处罚的；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3.涉嫌违纪违法正在接受有关机关审查尚未作出结论的；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4.受处分期间或者未满影响期限的；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5.曾在公务员考录、人才引进、事业单位公开招聘考试中被认定有舞弊等严重违反招聘纪律行为人员；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6.报考人员不得报考引进后即构成回避关系的岗位；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7.国家和省另有规定不得应聘到事业单位的人员；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8.有关高校的分校、独立学院毕业生，委托培养、在职培养、定向培养和合作办学的毕业生。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9.法律、法规规定的其他情形。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三、报名办法与注意事项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（一）报名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本次招聘采取网上报名的方式进行。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1.报名时间：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网上报名时间：</w:t>
      </w:r>
      <w:r>
        <w:rPr>
          <w:rFonts w:hint="eastAsia" w:ascii="仿宋_GB2312" w:eastAsia="仿宋_GB2312"/>
          <w:sz w:val="32"/>
          <w:szCs w:val="32"/>
          <w:lang w:val="en-US" w:eastAsia="zh-CN"/>
        </w:rPr>
        <w:t>自发布之日起至2022年</w:t>
      </w:r>
      <w:r>
        <w:rPr>
          <w:rFonts w:hint="eastAsia" w:ascii="仿宋_GB2312" w:eastAsia="仿宋_GB2312"/>
          <w:sz w:val="32"/>
          <w:szCs w:val="32"/>
        </w:rPr>
        <w:t>6月</w:t>
      </w:r>
      <w:r>
        <w:rPr>
          <w:rFonts w:hint="eastAsia" w:ascii="仿宋_GB2312" w:eastAsia="仿宋_GB2312"/>
          <w:sz w:val="32"/>
          <w:szCs w:val="32"/>
          <w:lang w:val="en-US" w:eastAsia="zh-CN"/>
        </w:rPr>
        <w:t>8</w:t>
      </w:r>
      <w:r>
        <w:rPr>
          <w:rFonts w:hint="eastAsia" w:ascii="仿宋_GB2312" w:eastAsia="仿宋_GB2312"/>
          <w:sz w:val="32"/>
          <w:szCs w:val="32"/>
        </w:rPr>
        <w:t>日下午5:30。</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b/>
          <w:bCs/>
          <w:sz w:val="32"/>
          <w:szCs w:val="32"/>
        </w:rPr>
      </w:pPr>
      <w:r>
        <w:rPr>
          <w:rFonts w:hint="eastAsia" w:ascii="仿宋_GB2312" w:eastAsia="仿宋_GB2312"/>
          <w:b/>
          <w:bCs/>
          <w:sz w:val="32"/>
          <w:szCs w:val="32"/>
        </w:rPr>
        <w:t>凡不在规定时间内报名的，将不予受理。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2.报名方式：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应聘者须按时将所需材料的电子版通过电子邮箱发送至zkzyzcyz@163.com进行网上报名，经过单位初审通过后，方可进入视频复审环节。通过初审的人员，初审结果会以邮件的方式告知，请注意及时查收并按要求进行视频复审；未收到邮件通知者，为初审未通过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3.报名所需材料：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参加网上报名初审时，需提供以下材料单张扫描件：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b/>
          <w:bCs/>
          <w:sz w:val="32"/>
          <w:szCs w:val="32"/>
        </w:rPr>
      </w:pPr>
      <w:r>
        <w:rPr>
          <w:rFonts w:hint="eastAsia" w:ascii="仿宋_GB2312" w:eastAsia="仿宋_GB2312"/>
          <w:sz w:val="32"/>
          <w:szCs w:val="32"/>
        </w:rPr>
        <w:t>2022年周口职业技术学院高层次人才招聘报名登记表（见附件），需提前贴好照片、本人有效身份证（正反面）、毕业证、学位证、学信网《教育部学历证书电子注册备案表》、学位网《学位认证报告》（海外硕士研究生需提供教育部留学服务中心《国外学历学位认证书》）。</w:t>
      </w:r>
      <w:r>
        <w:rPr>
          <w:rFonts w:hint="eastAsia" w:ascii="仿宋_GB2312" w:eastAsia="仿宋_GB2312"/>
          <w:b/>
          <w:bCs/>
          <w:sz w:val="32"/>
          <w:szCs w:val="32"/>
        </w:rPr>
        <w:t>强调：本、硕资料都要上传。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b/>
          <w:bCs/>
          <w:sz w:val="32"/>
          <w:szCs w:val="32"/>
        </w:rPr>
      </w:pPr>
      <w:r>
        <w:rPr>
          <w:rFonts w:hint="eastAsia" w:ascii="仿宋_GB2312" w:eastAsia="仿宋_GB2312"/>
          <w:sz w:val="32"/>
          <w:szCs w:val="32"/>
        </w:rPr>
        <w:t>参加网上报名初审时，</w:t>
      </w:r>
      <w:r>
        <w:rPr>
          <w:rFonts w:hint="eastAsia" w:ascii="仿宋_GB2312" w:eastAsia="仿宋_GB2312"/>
          <w:b/>
          <w:bCs/>
          <w:sz w:val="32"/>
          <w:szCs w:val="32"/>
        </w:rPr>
        <w:t>邮件名称统一格式为本人姓名+第x岗xx专业,报名材料不接收邮件压缩包，</w:t>
      </w:r>
      <w:r>
        <w:rPr>
          <w:rFonts w:hint="eastAsia" w:ascii="仿宋_GB2312" w:eastAsia="仿宋_GB2312"/>
          <w:sz w:val="32"/>
          <w:szCs w:val="32"/>
        </w:rPr>
        <w:t>报名应聘人员需将上述材料原件以单张扫描件形式通过电子邮箱发送至zkzyzcyz@163.com。特别提醒：为节约邮箱空间，提高工作效率，网上报名只需要上传报名登记表、本人有效身份证（正反面）、毕业证、学位证、学信网《教育部学历证书电子注册备案表》、学位网《学位认证报告》（海外硕士研究生需提供教育部留学服务中心《国外学历学位认证书》）这5项资料的单张扫描件，</w:t>
      </w:r>
      <w:r>
        <w:rPr>
          <w:rFonts w:hint="eastAsia" w:ascii="仿宋_GB2312" w:eastAsia="仿宋_GB2312"/>
          <w:b/>
          <w:bCs/>
          <w:sz w:val="32"/>
          <w:szCs w:val="32"/>
        </w:rPr>
        <w:t>多余的资料禁止上传。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参加视频复审必须是本人，不接受他人代替视频，具体事宜将在初审通过告知邮件内详细说明。</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尚未取得毕业证</w:t>
      </w:r>
      <w:r>
        <w:rPr>
          <w:rFonts w:hint="eastAsia" w:ascii="仿宋_GB2312" w:eastAsia="仿宋_GB2312"/>
          <w:b/>
          <w:bCs/>
          <w:sz w:val="32"/>
          <w:szCs w:val="32"/>
          <w:lang w:val="en-US" w:eastAsia="zh-CN"/>
        </w:rPr>
        <w:t>和学位证</w:t>
      </w:r>
      <w:r>
        <w:rPr>
          <w:rFonts w:hint="eastAsia" w:ascii="仿宋_GB2312" w:eastAsia="仿宋_GB2312"/>
          <w:b/>
          <w:bCs/>
          <w:sz w:val="32"/>
          <w:szCs w:val="32"/>
        </w:rPr>
        <w:t>的2022届毕业生，</w:t>
      </w:r>
      <w:r>
        <w:rPr>
          <w:rFonts w:hint="eastAsia" w:ascii="仿宋_GB2312" w:eastAsia="仿宋_GB2312"/>
          <w:sz w:val="32"/>
          <w:szCs w:val="32"/>
        </w:rPr>
        <w:t>可提供学籍登记表和毕业生登记表暂时代替，毕业证、学位证、学信网《教育部学历证书电子注册备案表》、学位网《学位认证报告》（海外硕士研究生需提供教育部留学服务中心《国外学历学位认证书》）等资料原件，最迟于2022年7月31日前，需提交至学校人事处审核，</w:t>
      </w:r>
      <w:r>
        <w:rPr>
          <w:rFonts w:hint="eastAsia" w:ascii="仿宋_GB2312" w:eastAsia="仿宋_GB2312"/>
          <w:b/>
          <w:bCs/>
          <w:sz w:val="32"/>
          <w:szCs w:val="32"/>
        </w:rPr>
        <w:t>逾期未提交者视为资格审查不通过。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4.资格审查。学校根据报名应聘人员提交的相关材料进行资格审查并及时将审查结果反馈本人，资格审查通过者方可进入</w:t>
      </w:r>
      <w:r>
        <w:rPr>
          <w:rFonts w:hint="eastAsia" w:ascii="仿宋_GB2312" w:eastAsia="仿宋_GB2312"/>
          <w:sz w:val="32"/>
          <w:szCs w:val="32"/>
          <w:lang w:val="en-US" w:eastAsia="zh-CN"/>
        </w:rPr>
        <w:t>初步筛选，</w:t>
      </w:r>
      <w:r>
        <w:rPr>
          <w:rFonts w:hint="eastAsia" w:ascii="仿宋_GB2312" w:eastAsia="仿宋_GB2312"/>
          <w:sz w:val="32"/>
          <w:szCs w:val="32"/>
        </w:rPr>
        <w:t>确定</w:t>
      </w:r>
      <w:r>
        <w:rPr>
          <w:rFonts w:hint="eastAsia" w:ascii="仿宋_GB2312" w:eastAsia="仿宋_GB2312"/>
          <w:sz w:val="32"/>
          <w:szCs w:val="32"/>
          <w:lang w:val="en-US" w:eastAsia="zh-CN"/>
        </w:rPr>
        <w:t>综合</w:t>
      </w:r>
      <w:r>
        <w:rPr>
          <w:rFonts w:hint="eastAsia" w:ascii="仿宋_GB2312" w:eastAsia="仿宋_GB2312"/>
          <w:sz w:val="32"/>
          <w:szCs w:val="32"/>
        </w:rPr>
        <w:t>测评人员环节。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5.初步筛选，确定</w:t>
      </w:r>
      <w:r>
        <w:rPr>
          <w:rFonts w:hint="eastAsia" w:ascii="仿宋_GB2312" w:eastAsia="仿宋_GB2312"/>
          <w:sz w:val="32"/>
          <w:szCs w:val="32"/>
          <w:lang w:val="en-US" w:eastAsia="zh-CN"/>
        </w:rPr>
        <w:t>综合</w:t>
      </w:r>
      <w:r>
        <w:rPr>
          <w:rFonts w:hint="eastAsia" w:ascii="仿宋_GB2312" w:eastAsia="仿宋_GB2312"/>
          <w:sz w:val="32"/>
          <w:szCs w:val="32"/>
        </w:rPr>
        <w:t>测评人员。相同岗位资格审查通过人员与岗位引进人数比例不高于6:1的，所有人员进入综合测评环节；比例高于6:1的，需增加一轮笔试进行初步筛选，根据笔试成绩，按照3:1的比例确定进入综合测评环节人员。笔试成绩不计入总成绩</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6.综合测评以面试方式对专业技术水平进行考核，根据面试成绩，按照1:1的比例确定进入体检环节人员。具体事宜另行通知。</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（二）注意事项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b/>
          <w:bCs/>
          <w:sz w:val="32"/>
          <w:szCs w:val="32"/>
        </w:rPr>
        <w:t>每个报名应聘人员只能选择一个岗位进行报名，多报者视为自动放弃报名资格</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资格审查贯穿招聘工作全过程。报名人员报名时提交的信息和提供的有关材料必须真实有效且于报考岗位所需专业条件相符。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3.通过资格审查的人员，审查结果以电话或短信的方式告知，请保持电话畅通，并按照规定的时间、地点与要求做好初步筛选等相关工作。逾期不到的，视为自动放弃聘用资格；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4.初步筛选通过人员，初步筛选结果</w:t>
      </w:r>
      <w:r>
        <w:rPr>
          <w:rFonts w:hint="eastAsia" w:ascii="仿宋_GB2312" w:eastAsia="仿宋_GB2312"/>
          <w:sz w:val="32"/>
          <w:szCs w:val="32"/>
          <w:lang w:val="en-US" w:eastAsia="zh-CN"/>
        </w:rPr>
        <w:t>将</w:t>
      </w:r>
      <w:r>
        <w:rPr>
          <w:rFonts w:hint="eastAsia" w:ascii="仿宋_GB2312" w:eastAsia="仿宋_GB2312"/>
          <w:sz w:val="32"/>
          <w:szCs w:val="32"/>
        </w:rPr>
        <w:t>以电话或短信的方式告知，请保持电话畅通，并按照规定的时间、地点</w:t>
      </w:r>
      <w:r>
        <w:rPr>
          <w:rFonts w:hint="eastAsia" w:ascii="仿宋_GB2312" w:eastAsia="仿宋_GB2312"/>
          <w:sz w:val="32"/>
          <w:szCs w:val="32"/>
          <w:lang w:val="en-US" w:eastAsia="zh-CN"/>
        </w:rPr>
        <w:t>及</w:t>
      </w:r>
      <w:r>
        <w:rPr>
          <w:rFonts w:hint="eastAsia" w:ascii="仿宋_GB2312" w:eastAsia="仿宋_GB2312"/>
          <w:sz w:val="32"/>
          <w:szCs w:val="32"/>
        </w:rPr>
        <w:t>要求做好综合测评等相关</w:t>
      </w:r>
      <w:r>
        <w:rPr>
          <w:rFonts w:hint="eastAsia" w:ascii="仿宋_GB2312" w:eastAsia="仿宋_GB2312"/>
          <w:sz w:val="32"/>
          <w:szCs w:val="32"/>
          <w:lang w:val="en-US" w:eastAsia="zh-CN"/>
        </w:rPr>
        <w:t>准备</w:t>
      </w:r>
      <w:r>
        <w:rPr>
          <w:rFonts w:hint="eastAsia" w:ascii="仿宋_GB2312" w:eastAsia="仿宋_GB2312"/>
          <w:sz w:val="32"/>
          <w:szCs w:val="32"/>
        </w:rPr>
        <w:t>工作。逾期不到</w:t>
      </w:r>
      <w:r>
        <w:rPr>
          <w:rFonts w:hint="eastAsia" w:ascii="仿宋_GB2312" w:eastAsia="仿宋_GB2312"/>
          <w:sz w:val="32"/>
          <w:szCs w:val="32"/>
          <w:lang w:val="en-US" w:eastAsia="zh-CN"/>
        </w:rPr>
        <w:t>者</w:t>
      </w:r>
      <w:r>
        <w:rPr>
          <w:rFonts w:hint="eastAsia" w:ascii="仿宋_GB2312" w:eastAsia="仿宋_GB2312"/>
          <w:sz w:val="32"/>
          <w:szCs w:val="32"/>
        </w:rPr>
        <w:t>，视为自动放弃</w:t>
      </w:r>
      <w:r>
        <w:rPr>
          <w:rFonts w:hint="eastAsia" w:ascii="仿宋_GB2312" w:eastAsia="仿宋_GB2312"/>
          <w:sz w:val="32"/>
          <w:szCs w:val="32"/>
          <w:lang w:val="en-US" w:eastAsia="zh-CN"/>
        </w:rPr>
        <w:t>应</w:t>
      </w:r>
      <w:r>
        <w:rPr>
          <w:rFonts w:hint="eastAsia" w:ascii="仿宋_GB2312" w:eastAsia="仿宋_GB2312"/>
          <w:sz w:val="32"/>
          <w:szCs w:val="32"/>
        </w:rPr>
        <w:t>聘资格；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5.通过资格审查、初步筛选、综合测评、体检、考察等环节人员，暂定为拟聘用人员，拟定结果</w:t>
      </w:r>
      <w:r>
        <w:rPr>
          <w:rFonts w:hint="eastAsia" w:ascii="仿宋_GB2312" w:eastAsia="仿宋_GB2312"/>
          <w:sz w:val="32"/>
          <w:szCs w:val="32"/>
          <w:lang w:val="en-US" w:eastAsia="zh-CN"/>
        </w:rPr>
        <w:t>将</w:t>
      </w:r>
      <w:r>
        <w:rPr>
          <w:rFonts w:hint="eastAsia" w:ascii="仿宋_GB2312" w:eastAsia="仿宋_GB2312"/>
          <w:sz w:val="32"/>
          <w:szCs w:val="32"/>
        </w:rPr>
        <w:t>以电话或短信的方式告知，请保持电话畅通，并做好相关准备工作，最晚于202</w:t>
      </w:r>
      <w:r>
        <w:rPr>
          <w:rFonts w:hint="eastAsia" w:ascii="仿宋_GB2312" w:eastAsia="仿宋_GB2312"/>
          <w:sz w:val="32"/>
          <w:szCs w:val="32"/>
          <w:lang w:val="en-US" w:eastAsia="zh-CN"/>
        </w:rPr>
        <w:t>2</w:t>
      </w:r>
      <w:r>
        <w:rPr>
          <w:rFonts w:hint="eastAsia" w:ascii="仿宋_GB2312" w:eastAsia="仿宋_GB2312"/>
          <w:sz w:val="32"/>
          <w:szCs w:val="32"/>
        </w:rPr>
        <w:t>年 8月 1日前将个人人事档案提交至学校人事处，逾期不交者，视为自动放弃聘用资格。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四、联系方式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联 系 人：万老师、赵老师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联系电话：0394-8681668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咨询热线：18</w:t>
      </w:r>
      <w:r>
        <w:rPr>
          <w:rFonts w:hint="eastAsia" w:ascii="仿宋_GB2312" w:eastAsia="仿宋_GB2312"/>
          <w:sz w:val="32"/>
          <w:szCs w:val="32"/>
          <w:lang w:val="en-US" w:eastAsia="zh-CN"/>
        </w:rPr>
        <w:t>4</w:t>
      </w:r>
      <w:r>
        <w:rPr>
          <w:rFonts w:hint="eastAsia" w:ascii="仿宋_GB2312" w:eastAsia="仿宋_GB2312"/>
          <w:sz w:val="32"/>
          <w:szCs w:val="32"/>
        </w:rPr>
        <w:t>39428901</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咨询时间：工作日上午8:00-12:00，下午3:00-6:00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学校地址：河南省周口市开元大道1号周口职业技术学院开元校区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邮编：466000</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20" w:lineRule="exact"/>
        <w:ind w:firstLine="640" w:firstLineChars="200"/>
        <w:textAlignment w:val="auto"/>
        <w:outlineLvl w:val="3"/>
        <w:rPr>
          <w:rFonts w:ascii="黑体" w:hAnsi="黑体" w:eastAsia="黑体" w:cs="Times New Roman"/>
          <w:color w:val="000000" w:themeColor="text1"/>
          <w:kern w:val="0"/>
          <w:sz w:val="32"/>
          <w:szCs w:val="32"/>
          <w14:textFill>
            <w14:solidFill>
              <w14:schemeClr w14:val="tx1"/>
            </w14:solidFill>
          </w14:textFill>
        </w:rPr>
      </w:pPr>
      <w:r>
        <w:rPr>
          <w:rFonts w:hint="eastAsia" w:ascii="黑体" w:hAnsi="黑体" w:eastAsia="黑体" w:cs="Times New Roman"/>
          <w:color w:val="000000" w:themeColor="text1"/>
          <w:kern w:val="0"/>
          <w:sz w:val="32"/>
          <w:szCs w:val="32"/>
          <w14:textFill>
            <w14:solidFill>
              <w14:schemeClr w14:val="tx1"/>
            </w14:solidFill>
          </w14:textFill>
        </w:rPr>
        <w:t>五、招聘岗位及要求</w:t>
      </w:r>
    </w:p>
    <w:tbl>
      <w:tblPr>
        <w:tblStyle w:val="6"/>
        <w:tblW w:w="892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3"/>
        <w:gridCol w:w="480"/>
        <w:gridCol w:w="330"/>
        <w:gridCol w:w="1575"/>
        <w:gridCol w:w="1290"/>
        <w:gridCol w:w="3000"/>
        <w:gridCol w:w="18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4" w:hRule="atLeast"/>
          <w:jc w:val="center"/>
        </w:trPr>
        <w:tc>
          <w:tcPr>
            <w:tcW w:w="453" w:type="dxa"/>
            <w:vMerge w:val="restart"/>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序</w:t>
            </w:r>
          </w:p>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号</w:t>
            </w:r>
          </w:p>
        </w:tc>
        <w:tc>
          <w:tcPr>
            <w:tcW w:w="480" w:type="dxa"/>
            <w:vMerge w:val="restart"/>
            <w:vAlign w:val="center"/>
          </w:tcPr>
          <w:p>
            <w:pPr>
              <w:spacing w:line="24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岗位</w:t>
            </w:r>
          </w:p>
          <w:p>
            <w:pPr>
              <w:spacing w:line="24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名称</w:t>
            </w:r>
          </w:p>
        </w:tc>
        <w:tc>
          <w:tcPr>
            <w:tcW w:w="330" w:type="dxa"/>
            <w:vMerge w:val="restart"/>
            <w:vAlign w:val="center"/>
          </w:tcPr>
          <w:p>
            <w:pPr>
              <w:spacing w:line="24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引进</w:t>
            </w:r>
          </w:p>
          <w:p>
            <w:pPr>
              <w:spacing w:line="24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计划</w:t>
            </w:r>
          </w:p>
        </w:tc>
        <w:tc>
          <w:tcPr>
            <w:tcW w:w="7666" w:type="dxa"/>
            <w:gridSpan w:val="4"/>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岗位要求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jc w:val="center"/>
        </w:trPr>
        <w:tc>
          <w:tcPr>
            <w:tcW w:w="453" w:type="dxa"/>
            <w:vMerge w:val="continue"/>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p>
        </w:tc>
        <w:tc>
          <w:tcPr>
            <w:tcW w:w="480" w:type="dxa"/>
            <w:vMerge w:val="continue"/>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p>
        </w:tc>
        <w:tc>
          <w:tcPr>
            <w:tcW w:w="330" w:type="dxa"/>
            <w:vMerge w:val="continue"/>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p>
        </w:tc>
        <w:tc>
          <w:tcPr>
            <w:tcW w:w="1575" w:type="dxa"/>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学历学位或职称</w:t>
            </w:r>
          </w:p>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（具备其一）</w:t>
            </w:r>
          </w:p>
        </w:tc>
        <w:tc>
          <w:tcPr>
            <w:tcW w:w="1290" w:type="dxa"/>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专业</w:t>
            </w:r>
          </w:p>
        </w:tc>
        <w:tc>
          <w:tcPr>
            <w:tcW w:w="3000" w:type="dxa"/>
            <w:vAlign w:val="center"/>
          </w:tcPr>
          <w:p>
            <w:pPr>
              <w:spacing w:line="300" w:lineRule="exact"/>
              <w:jc w:val="center"/>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年龄</w:t>
            </w:r>
          </w:p>
        </w:tc>
        <w:tc>
          <w:tcPr>
            <w:tcW w:w="1801" w:type="dxa"/>
            <w:vAlign w:val="center"/>
          </w:tcPr>
          <w:p>
            <w:pPr>
              <w:spacing w:line="300" w:lineRule="exact"/>
              <w:jc w:val="left"/>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10" w:hRule="atLeast"/>
          <w:jc w:val="center"/>
        </w:trPr>
        <w:tc>
          <w:tcPr>
            <w:tcW w:w="453"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岗1</w:t>
            </w:r>
          </w:p>
        </w:tc>
        <w:tc>
          <w:tcPr>
            <w:tcW w:w="330"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eastAsiaTheme="minorEastAsia"/>
                <w:lang w:val="en-US" w:eastAsia="zh-CN"/>
              </w:rPr>
            </w:pPr>
            <w:r>
              <w:rPr>
                <w:rFonts w:hint="eastAsia"/>
                <w:lang w:val="en-US" w:eastAsia="zh-CN"/>
              </w:rPr>
              <w:t>康复医学与理疗学</w:t>
            </w:r>
          </w:p>
        </w:tc>
        <w:tc>
          <w:tcPr>
            <w:tcW w:w="3000" w:type="dxa"/>
            <w:vAlign w:val="center"/>
          </w:tcPr>
          <w:p>
            <w:pPr>
              <w:spacing w:line="300" w:lineRule="exact"/>
              <w:jc w:val="left"/>
            </w:pPr>
            <w:r>
              <w:rPr>
                <w:rFonts w:hint="eastAsia"/>
              </w:rPr>
              <w:t>副</w:t>
            </w:r>
            <w:r>
              <w:rPr>
                <w:rFonts w:hint="eastAsia"/>
                <w:lang w:val="en-US" w:eastAsia="zh-CN"/>
              </w:rPr>
              <w:t>主任医师及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pPr>
            <w:r>
              <w:rPr>
                <w:rFonts w:hint="eastAsia" w:asciiTheme="minorEastAsia" w:hAnsiTheme="minorEastAsia"/>
                <w:color w:val="000000" w:themeColor="text1"/>
                <w:szCs w:val="21"/>
                <w14:textFill>
                  <w14:solidFill>
                    <w14:schemeClr w14:val="tx1"/>
                  </w14:solidFill>
                </w14:textFill>
              </w:rPr>
              <w:t>统招硕士研</w:t>
            </w:r>
            <w:r>
              <w:rPr>
                <w:rFonts w:hint="eastAsia" w:asciiTheme="minorEastAsia" w:hAnsiTheme="minorEastAsia"/>
                <w:color w:val="000000" w:themeColor="text1"/>
                <w:szCs w:val="21"/>
                <w:lang w:val="en-US" w:eastAsia="zh-CN"/>
                <w14:textFill>
                  <w14:solidFill>
                    <w14:schemeClr w14:val="tx1"/>
                  </w14:solidFill>
                </w14:textFill>
              </w:rPr>
              <w:t>究</w:t>
            </w:r>
            <w:r>
              <w:rPr>
                <w:rFonts w:hint="eastAsia" w:asciiTheme="minorEastAsia" w:hAnsiTheme="minorEastAsia"/>
                <w:color w:val="000000" w:themeColor="text1"/>
                <w:szCs w:val="21"/>
                <w14:textFill>
                  <w14:solidFill>
                    <w14:schemeClr w14:val="tx1"/>
                  </w14:solidFill>
                </w14:textFill>
              </w:rPr>
              <w:t>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lang w:val="en-US" w:eastAsia="zh-CN"/>
                <w14:textFill>
                  <w14:solidFill>
                    <w14:schemeClr w14:val="tx1"/>
                  </w14:solidFill>
                </w14:textFill>
              </w:rPr>
              <w:t>副主任医师及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0" w:hRule="atLeast"/>
          <w:jc w:val="center"/>
        </w:trPr>
        <w:tc>
          <w:tcPr>
            <w:tcW w:w="453"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w:t>
            </w:r>
          </w:p>
        </w:tc>
        <w:tc>
          <w:tcPr>
            <w:tcW w:w="480" w:type="dxa"/>
            <w:vAlign w:val="center"/>
          </w:tcPr>
          <w:p>
            <w:pPr>
              <w:spacing w:line="300" w:lineRule="exact"/>
              <w:jc w:val="center"/>
              <w:rPr>
                <w:rFonts w:hint="default" w:asciiTheme="minorEastAsia" w:hAnsiTheme="minorEastAsia"/>
                <w:color w:val="000000" w:themeColor="text1"/>
                <w:szCs w:val="21"/>
                <w:lang w:val="en-US"/>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岗2</w:t>
            </w:r>
          </w:p>
        </w:tc>
        <w:tc>
          <w:tcPr>
            <w:tcW w:w="330"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eastAsiaTheme="minorEastAsia"/>
                <w:lang w:val="en-US" w:eastAsia="zh-CN"/>
              </w:rPr>
            </w:pPr>
            <w:r>
              <w:rPr>
                <w:rFonts w:hint="eastAsia"/>
                <w:lang w:val="en-US" w:eastAsia="zh-CN"/>
              </w:rPr>
              <w:t>内科学</w:t>
            </w:r>
          </w:p>
        </w:tc>
        <w:tc>
          <w:tcPr>
            <w:tcW w:w="3000" w:type="dxa"/>
            <w:vAlign w:val="center"/>
          </w:tcPr>
          <w:p>
            <w:pPr>
              <w:spacing w:line="300" w:lineRule="exact"/>
              <w:jc w:val="left"/>
            </w:pPr>
            <w:r>
              <w:rPr>
                <w:rFonts w:hint="eastAsia"/>
              </w:rPr>
              <w:t>副</w:t>
            </w:r>
            <w:r>
              <w:rPr>
                <w:rFonts w:hint="eastAsia"/>
                <w:lang w:val="en-US" w:eastAsia="zh-CN"/>
              </w:rPr>
              <w:t>主任医师及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lang w:val="en-US" w:eastAsia="zh-CN"/>
                <w14:textFill>
                  <w14:solidFill>
                    <w14:schemeClr w14:val="tx1"/>
                  </w14:solidFill>
                </w14:textFill>
              </w:rPr>
              <w:t>副主任医师及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45" w:hRule="atLeast"/>
          <w:jc w:val="center"/>
        </w:trPr>
        <w:tc>
          <w:tcPr>
            <w:tcW w:w="453"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3</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color w:val="000000" w:themeColor="text1"/>
                <w:szCs w:val="21"/>
                <w:lang w:val="en-US"/>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岗3</w:t>
            </w:r>
          </w:p>
        </w:tc>
        <w:tc>
          <w:tcPr>
            <w:tcW w:w="330" w:type="dxa"/>
            <w:vAlign w:val="center"/>
          </w:tcPr>
          <w:p>
            <w:pPr>
              <w:spacing w:line="300" w:lineRule="exact"/>
              <w:jc w:val="center"/>
              <w:rPr>
                <w:rFonts w:hint="eastAsia" w:asciiTheme="minorEastAsia" w:hAnsiTheme="minorEastAsia" w:eastAsia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eastAsiaTheme="minorEastAsia"/>
                <w:lang w:val="en-US" w:eastAsia="zh-CN"/>
              </w:rPr>
            </w:pPr>
            <w:r>
              <w:rPr>
                <w:rFonts w:hint="eastAsia"/>
                <w:lang w:val="en-US" w:eastAsia="zh-CN"/>
              </w:rPr>
              <w:t>药物化学</w:t>
            </w:r>
          </w:p>
        </w:tc>
        <w:tc>
          <w:tcPr>
            <w:tcW w:w="3000" w:type="dxa"/>
            <w:vAlign w:val="center"/>
          </w:tcPr>
          <w:p>
            <w:pPr>
              <w:spacing w:line="300" w:lineRule="exact"/>
              <w:jc w:val="left"/>
            </w:pPr>
            <w:r>
              <w:rPr>
                <w:rFonts w:hint="eastAsia"/>
              </w:rPr>
              <w:t>副</w:t>
            </w:r>
            <w:r>
              <w:rPr>
                <w:rFonts w:hint="eastAsia"/>
                <w:lang w:val="en-US" w:eastAsia="zh-CN"/>
              </w:rPr>
              <w:t>主任医师及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lang w:val="en-US" w:eastAsia="zh-CN"/>
                <w14:textFill>
                  <w14:solidFill>
                    <w14:schemeClr w14:val="tx1"/>
                  </w14:solidFill>
                </w14:textFill>
              </w:rPr>
              <w:t>副主任医师及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5" w:hRule="atLeast"/>
          <w:jc w:val="center"/>
        </w:trPr>
        <w:tc>
          <w:tcPr>
            <w:tcW w:w="453"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4</w:t>
            </w:r>
          </w:p>
        </w:tc>
        <w:tc>
          <w:tcPr>
            <w:tcW w:w="480" w:type="dxa"/>
            <w:vAlign w:val="center"/>
          </w:tcPr>
          <w:p>
            <w:pPr>
              <w:spacing w:line="300" w:lineRule="exact"/>
              <w:jc w:val="center"/>
              <w:rPr>
                <w:rFonts w:hint="default" w:asciiTheme="minorEastAsia" w:hAnsiTheme="minorEastAsia"/>
                <w:color w:val="000000" w:themeColor="text1"/>
                <w:szCs w:val="21"/>
                <w:lang w:val="en-US"/>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岗4</w:t>
            </w:r>
          </w:p>
        </w:tc>
        <w:tc>
          <w:tcPr>
            <w:tcW w:w="330" w:type="dxa"/>
            <w:vAlign w:val="center"/>
          </w:tcPr>
          <w:p>
            <w:pPr>
              <w:spacing w:line="300" w:lineRule="exact"/>
              <w:jc w:val="cente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eastAsiaTheme="minorEastAsia"/>
                <w:lang w:val="en-US" w:eastAsia="zh-CN"/>
              </w:rPr>
            </w:pPr>
            <w:r>
              <w:rPr>
                <w:rFonts w:hint="eastAsia"/>
                <w:lang w:val="en-US" w:eastAsia="zh-CN"/>
              </w:rPr>
              <w:t>针灸推拿学</w:t>
            </w:r>
          </w:p>
        </w:tc>
        <w:tc>
          <w:tcPr>
            <w:tcW w:w="3000" w:type="dxa"/>
            <w:vAlign w:val="center"/>
          </w:tcPr>
          <w:p>
            <w:pPr>
              <w:spacing w:line="300" w:lineRule="exact"/>
              <w:jc w:val="left"/>
            </w:pPr>
            <w:r>
              <w:rPr>
                <w:rFonts w:hint="eastAsia"/>
              </w:rPr>
              <w:t>副</w:t>
            </w:r>
            <w:r>
              <w:rPr>
                <w:rFonts w:hint="eastAsia"/>
                <w:lang w:val="en-US" w:eastAsia="zh-CN"/>
              </w:rPr>
              <w:t>主任医师及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lang w:val="en-US" w:eastAsia="zh-CN"/>
                <w14:textFill>
                  <w14:solidFill>
                    <w14:schemeClr w14:val="tx1"/>
                  </w14:solidFill>
                </w14:textFill>
              </w:rPr>
              <w:t>副主任医师及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5"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5</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岗5</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护理学</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w:t>
            </w:r>
            <w:r>
              <w:rPr>
                <w:rFonts w:hint="eastAsia"/>
                <w:lang w:val="en-US" w:eastAsia="zh-CN"/>
              </w:rPr>
              <w:t>主任医师及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lang w:val="en-US" w:eastAsia="zh-CN"/>
                <w14:textFill>
                  <w14:solidFill>
                    <w14:schemeClr w14:val="tx1"/>
                  </w14:solidFill>
                </w14:textFill>
              </w:rPr>
              <w:t>副主任医师及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0"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6</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岗6</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矿业工程</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w:t>
            </w:r>
            <w:r>
              <w:rPr>
                <w:rFonts w:hint="eastAsia"/>
                <w:lang w:val="en-US" w:eastAsia="zh-CN"/>
              </w:rPr>
              <w:t>教授及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或副教授及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65"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7</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岗7</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vAlign w:val="top"/>
          </w:tcPr>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全日制本科专业为建筑艺术设计</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风景园林学</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8</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岗8</w:t>
            </w:r>
          </w:p>
        </w:tc>
        <w:tc>
          <w:tcPr>
            <w:tcW w:w="33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stheme="minorBidi"/>
                <w:color w:val="000000" w:themeColor="text1"/>
                <w:kern w:val="2"/>
                <w:sz w:val="21"/>
                <w:szCs w:val="21"/>
                <w:lang w:val="en-US" w:eastAsia="zh-CN" w:bidi="ar-SA"/>
                <w14:textFill>
                  <w14:solidFill>
                    <w14:schemeClr w14:val="tx1"/>
                  </w14:solidFill>
                </w14:textFill>
              </w:rPr>
              <w:t>1</w:t>
            </w:r>
          </w:p>
        </w:tc>
        <w:tc>
          <w:tcPr>
            <w:tcW w:w="1575" w:type="dxa"/>
            <w:vAlign w:val="top"/>
          </w:tcPr>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全日制本科专业为工程造价</w:t>
            </w:r>
            <w:r>
              <w:rPr>
                <w:rFonts w:hint="eastAsia" w:ascii="宋体" w:hAnsi="宋体" w:cs="宋体"/>
                <w:i w:val="0"/>
                <w:iCs w:val="0"/>
                <w:color w:val="000000"/>
                <w:kern w:val="0"/>
                <w:sz w:val="21"/>
                <w:szCs w:val="21"/>
                <w:u w:val="none"/>
                <w:lang w:val="en-US" w:eastAsia="zh-CN" w:bidi="ar"/>
              </w:rPr>
              <w:t>或建筑环境与设备工程</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建筑与土木工程</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50"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9</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岗9</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运动训练</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10</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岗10</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cstheme="minorBidi"/>
                <w:kern w:val="2"/>
                <w:sz w:val="21"/>
                <w:szCs w:val="22"/>
                <w:lang w:val="en-US" w:eastAsia="zh-CN" w:bidi="ar-SA"/>
              </w:rPr>
            </w:pPr>
            <w:r>
              <w:rPr>
                <w:rFonts w:hint="eastAsia" w:cstheme="minorBidi"/>
                <w:kern w:val="2"/>
                <w:sz w:val="21"/>
                <w:szCs w:val="22"/>
                <w:lang w:val="en-US" w:eastAsia="zh-CN" w:bidi="ar-SA"/>
              </w:rPr>
              <w:t>新闻与</w:t>
            </w:r>
          </w:p>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传播</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30"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11</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岗11</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cstheme="minorBidi"/>
                <w:kern w:val="2"/>
                <w:sz w:val="21"/>
                <w:szCs w:val="22"/>
                <w:lang w:val="en-US" w:eastAsia="zh-CN" w:bidi="ar-SA"/>
              </w:rPr>
            </w:pPr>
            <w:r>
              <w:rPr>
                <w:rFonts w:hint="eastAsia" w:cstheme="minorBidi"/>
                <w:kern w:val="2"/>
                <w:sz w:val="21"/>
                <w:szCs w:val="22"/>
                <w:lang w:val="en-US" w:eastAsia="zh-CN" w:bidi="ar-SA"/>
              </w:rPr>
              <w:t>戏剧与</w:t>
            </w:r>
          </w:p>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影视学</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12</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岗12</w:t>
            </w:r>
          </w:p>
        </w:tc>
        <w:tc>
          <w:tcPr>
            <w:tcW w:w="33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stheme="minorBidi"/>
                <w:color w:val="000000" w:themeColor="text1"/>
                <w:kern w:val="2"/>
                <w:sz w:val="21"/>
                <w:szCs w:val="21"/>
                <w:lang w:val="en-US" w:eastAsia="zh-CN" w:bidi="ar-SA"/>
                <w14:textFill>
                  <w14:solidFill>
                    <w14:schemeClr w14:val="tx1"/>
                  </w14:solidFill>
                </w14:textFill>
              </w:rPr>
              <w:t>2</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cstheme="minorBidi"/>
                <w:kern w:val="2"/>
                <w:sz w:val="21"/>
                <w:szCs w:val="22"/>
                <w:lang w:val="en-US" w:eastAsia="zh-CN" w:bidi="ar-SA"/>
              </w:rPr>
            </w:pPr>
            <w:r>
              <w:rPr>
                <w:rFonts w:hint="eastAsia" w:cstheme="minorBidi"/>
                <w:kern w:val="2"/>
                <w:sz w:val="21"/>
                <w:szCs w:val="22"/>
                <w:lang w:val="en-US" w:eastAsia="zh-CN" w:bidi="ar-SA"/>
              </w:rPr>
              <w:t>音乐</w:t>
            </w:r>
          </w:p>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（钢琴）</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r>
              <w:rPr>
                <w:rFonts w:hint="eastAsia" w:asciiTheme="minorEastAsia" w:hAnsiTheme="minorEastAsia"/>
                <w:color w:val="000000" w:themeColor="text1"/>
                <w:szCs w:val="21"/>
                <w:lang w:val="en-US" w:eastAsia="zh-CN"/>
                <w14:textFill>
                  <w14:solidFill>
                    <w14:schemeClr w14:val="tx1"/>
                  </w14:solidFill>
                </w14:textFill>
              </w:rPr>
              <w:t>3</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岗13</w:t>
            </w:r>
          </w:p>
        </w:tc>
        <w:tc>
          <w:tcPr>
            <w:tcW w:w="33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stheme="minorBidi"/>
                <w:color w:val="000000" w:themeColor="text1"/>
                <w:kern w:val="2"/>
                <w:sz w:val="21"/>
                <w:szCs w:val="21"/>
                <w:lang w:val="en-US" w:eastAsia="zh-CN" w:bidi="ar-SA"/>
                <w14:textFill>
                  <w14:solidFill>
                    <w14:schemeClr w14:val="tx1"/>
                  </w14:solidFill>
                </w14:textFill>
              </w:rPr>
              <w:t>2</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全日制本科专业为服装与服饰设计</w:t>
            </w:r>
            <w:r>
              <w:rPr>
                <w:rFonts w:hint="eastAsia" w:ascii="宋体" w:hAnsi="宋体" w:cs="宋体"/>
                <w:i w:val="0"/>
                <w:iCs w:val="0"/>
                <w:color w:val="000000"/>
                <w:kern w:val="0"/>
                <w:sz w:val="21"/>
                <w:szCs w:val="21"/>
                <w:u w:val="none"/>
                <w:lang w:val="en-US" w:eastAsia="zh-CN" w:bidi="ar"/>
              </w:rPr>
              <w:t>或环境设计</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艺术设计</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0"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14</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岗14</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cstheme="minorBidi"/>
                <w:kern w:val="2"/>
                <w:sz w:val="21"/>
                <w:szCs w:val="22"/>
                <w:lang w:val="en-US" w:eastAsia="zh-CN" w:bidi="ar-SA"/>
              </w:rPr>
            </w:pPr>
            <w:r>
              <w:rPr>
                <w:rFonts w:hint="eastAsia" w:cstheme="minorBidi"/>
                <w:kern w:val="2"/>
                <w:sz w:val="21"/>
                <w:szCs w:val="22"/>
                <w:lang w:val="en-US" w:eastAsia="zh-CN" w:bidi="ar-SA"/>
              </w:rPr>
              <w:t>美术</w:t>
            </w:r>
          </w:p>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（环境设计方向）</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55"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15</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岗15</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职称（全日制本科专业为学前教育）</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学前教育</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65"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16</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岗16</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测试计量技术及仪器</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10"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r>
              <w:rPr>
                <w:rFonts w:hint="eastAsia" w:asciiTheme="minorEastAsia" w:hAnsiTheme="minorEastAsia"/>
                <w:color w:val="000000" w:themeColor="text1"/>
                <w:szCs w:val="21"/>
                <w:lang w:val="en-US" w:eastAsia="zh-CN"/>
                <w14:textFill>
                  <w14:solidFill>
                    <w14:schemeClr w14:val="tx1"/>
                  </w14:solidFill>
                </w14:textFill>
              </w:rPr>
              <w:t>7</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岗17</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中共党史</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5"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18</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岗18</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英语笔译</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5"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19</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岗19</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计算机软件与理论</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0" w:hRule="atLeast"/>
          <w:jc w:val="center"/>
        </w:trPr>
        <w:tc>
          <w:tcPr>
            <w:tcW w:w="453"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20</w:t>
            </w:r>
          </w:p>
        </w:tc>
        <w:tc>
          <w:tcPr>
            <w:tcW w:w="480" w:type="dxa"/>
            <w:vAlign w:val="center"/>
          </w:tcPr>
          <w:p>
            <w:pPr>
              <w:spacing w:line="300" w:lineRule="exact"/>
              <w:jc w:val="center"/>
              <w:rPr>
                <w:rFonts w:hint="default"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岗20</w:t>
            </w:r>
          </w:p>
        </w:tc>
        <w:tc>
          <w:tcPr>
            <w:tcW w:w="330" w:type="dxa"/>
            <w:vAlign w:val="center"/>
          </w:tcPr>
          <w:p>
            <w:pPr>
              <w:spacing w:line="300" w:lineRule="exact"/>
              <w:jc w:val="center"/>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eastAsiaTheme="minorEastAsia" w:cstheme="minorBidi"/>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会计学</w:t>
            </w:r>
          </w:p>
        </w:tc>
        <w:tc>
          <w:tcPr>
            <w:tcW w:w="3000"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HAnsi" w:hAnsiTheme="minorHAnsi" w:eastAsiaTheme="minorEastAsia" w:cstheme="minorBidi"/>
                <w:kern w:val="2"/>
                <w:sz w:val="21"/>
                <w:szCs w:val="22"/>
                <w:lang w:val="en-US" w:eastAsia="zh-CN" w:bidi="ar-SA"/>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95" w:hRule="atLeast"/>
          <w:jc w:val="center"/>
        </w:trPr>
        <w:tc>
          <w:tcPr>
            <w:tcW w:w="453"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21</w:t>
            </w:r>
          </w:p>
        </w:tc>
        <w:tc>
          <w:tcPr>
            <w:tcW w:w="480" w:type="dxa"/>
            <w:vAlign w:val="center"/>
          </w:tcPr>
          <w:p>
            <w:pPr>
              <w:spacing w:line="300" w:lineRule="exact"/>
              <w:jc w:val="center"/>
              <w:rPr>
                <w:rFonts w:hint="eastAsia"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p>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岗21</w:t>
            </w:r>
          </w:p>
        </w:tc>
        <w:tc>
          <w:tcPr>
            <w:tcW w:w="330" w:type="dxa"/>
            <w:vAlign w:val="center"/>
          </w:tcPr>
          <w:p>
            <w:pPr>
              <w:spacing w:line="30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全日制本科专业为园林</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风景园林</w:t>
            </w:r>
          </w:p>
        </w:tc>
        <w:tc>
          <w:tcPr>
            <w:tcW w:w="3000" w:type="dxa"/>
            <w:vAlign w:val="center"/>
          </w:tcPr>
          <w:p>
            <w:pPr>
              <w:spacing w:line="300" w:lineRule="exact"/>
              <w:jc w:val="left"/>
              <w:rPr>
                <w:rFonts w:hint="eastAsi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10" w:hRule="atLeast"/>
          <w:jc w:val="center"/>
        </w:trPr>
        <w:tc>
          <w:tcPr>
            <w:tcW w:w="453"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22</w:t>
            </w:r>
          </w:p>
        </w:tc>
        <w:tc>
          <w:tcPr>
            <w:tcW w:w="480"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岗22</w:t>
            </w:r>
          </w:p>
        </w:tc>
        <w:tc>
          <w:tcPr>
            <w:tcW w:w="330" w:type="dxa"/>
            <w:vAlign w:val="center"/>
          </w:tcPr>
          <w:p>
            <w:pPr>
              <w:spacing w:line="30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全日制本科专业为园林</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林业</w:t>
            </w:r>
          </w:p>
        </w:tc>
        <w:tc>
          <w:tcPr>
            <w:tcW w:w="3000" w:type="dxa"/>
            <w:vAlign w:val="center"/>
          </w:tcPr>
          <w:p>
            <w:pPr>
              <w:spacing w:line="300" w:lineRule="exact"/>
              <w:jc w:val="left"/>
              <w:rPr>
                <w:rFonts w:hint="eastAsi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53"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23</w:t>
            </w:r>
          </w:p>
        </w:tc>
        <w:tc>
          <w:tcPr>
            <w:tcW w:w="480"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岗23</w:t>
            </w:r>
          </w:p>
        </w:tc>
        <w:tc>
          <w:tcPr>
            <w:tcW w:w="330" w:type="dxa"/>
            <w:vAlign w:val="center"/>
          </w:tcPr>
          <w:p>
            <w:pPr>
              <w:spacing w:line="30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r>
              <w:rPr>
                <w:rFonts w:hint="eastAsia" w:ascii="宋体" w:hAnsi="宋体" w:eastAsia="宋体" w:cs="宋体"/>
                <w:i w:val="0"/>
                <w:iCs w:val="0"/>
                <w:color w:val="000000"/>
                <w:kern w:val="0"/>
                <w:sz w:val="21"/>
                <w:szCs w:val="21"/>
                <w:u w:val="none"/>
                <w:lang w:val="en-US" w:eastAsia="zh-CN" w:bidi="ar"/>
              </w:rPr>
              <w:t>全日制本科专业为临床医学</w:t>
            </w:r>
            <w:r>
              <w:rPr>
                <w:rFonts w:hint="eastAsia" w:asciiTheme="minorEastAsia" w:hAnsiTheme="minorEastAsia"/>
                <w:color w:val="000000" w:themeColor="text1"/>
                <w:szCs w:val="21"/>
                <w:lang w:val="en-US" w:eastAsia="zh-CN"/>
                <w14:textFill>
                  <w14:solidFill>
                    <w14:schemeClr w14:val="tx1"/>
                  </w14:solidFill>
                </w14:textFill>
              </w:rPr>
              <w:t>）</w:t>
            </w:r>
          </w:p>
        </w:tc>
        <w:tc>
          <w:tcPr>
            <w:tcW w:w="1290" w:type="dxa"/>
            <w:vAlign w:val="center"/>
          </w:tcPr>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生理学</w:t>
            </w:r>
          </w:p>
        </w:tc>
        <w:tc>
          <w:tcPr>
            <w:tcW w:w="3000" w:type="dxa"/>
            <w:vAlign w:val="center"/>
          </w:tcPr>
          <w:p>
            <w:pPr>
              <w:spacing w:line="300" w:lineRule="exact"/>
              <w:jc w:val="left"/>
              <w:rPr>
                <w:rFonts w:hint="eastAsi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55" w:hRule="atLeast"/>
          <w:jc w:val="center"/>
        </w:trPr>
        <w:tc>
          <w:tcPr>
            <w:tcW w:w="453"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24</w:t>
            </w:r>
          </w:p>
        </w:tc>
        <w:tc>
          <w:tcPr>
            <w:tcW w:w="480" w:type="dxa"/>
            <w:vAlign w:val="center"/>
          </w:tcPr>
          <w:p>
            <w:pPr>
              <w:spacing w:line="300" w:lineRule="exact"/>
              <w:jc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eastAsia="zh-CN"/>
                <w14:textFill>
                  <w14:solidFill>
                    <w14:schemeClr w14:val="tx1"/>
                  </w14:solidFill>
                </w14:textFill>
              </w:rPr>
              <w:t>专业技术</w:t>
            </w:r>
            <w:r>
              <w:rPr>
                <w:rFonts w:hint="eastAsia" w:asciiTheme="minorEastAsia" w:hAnsiTheme="minorEastAsia"/>
                <w:color w:val="000000" w:themeColor="text1"/>
                <w:szCs w:val="21"/>
                <w:lang w:val="en-US" w:eastAsia="zh-CN"/>
                <w14:textFill>
                  <w14:solidFill>
                    <w14:schemeClr w14:val="tx1"/>
                  </w14:solidFill>
                </w14:textFill>
              </w:rPr>
              <w:t>岗24</w:t>
            </w:r>
          </w:p>
        </w:tc>
        <w:tc>
          <w:tcPr>
            <w:tcW w:w="330" w:type="dxa"/>
            <w:vAlign w:val="center"/>
          </w:tcPr>
          <w:p>
            <w:pPr>
              <w:spacing w:line="300" w:lineRule="exact"/>
              <w:jc w:val="center"/>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w:t>
            </w:r>
          </w:p>
        </w:tc>
        <w:tc>
          <w:tcPr>
            <w:tcW w:w="1575" w:type="dxa"/>
            <w:vAlign w:val="top"/>
          </w:tcPr>
          <w:p>
            <w:pPr>
              <w:spacing w:line="300" w:lineRule="exact"/>
              <w:rPr>
                <w:rFonts w:hint="eastAsia" w:asciiTheme="minorEastAsia" w:hAnsiTheme="minorEastAsia"/>
                <w:color w:val="000000" w:themeColor="text1"/>
                <w:szCs w:val="21"/>
                <w14:textFill>
                  <w14:solidFill>
                    <w14:schemeClr w14:val="tx1"/>
                  </w14:solidFill>
                </w14:textFill>
              </w:rPr>
            </w:pPr>
          </w:p>
          <w:p>
            <w:pPr>
              <w:spacing w:line="300" w:lineRule="exac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w:t>
            </w:r>
          </w:p>
        </w:tc>
        <w:tc>
          <w:tcPr>
            <w:tcW w:w="1290" w:type="dxa"/>
            <w:vAlign w:val="center"/>
          </w:tcPr>
          <w:p>
            <w:pPr>
              <w:spacing w:line="300" w:lineRule="exact"/>
              <w:jc w:val="center"/>
              <w:rPr>
                <w:rFonts w:hint="eastAsia" w:cstheme="minorBidi"/>
                <w:kern w:val="2"/>
                <w:sz w:val="21"/>
                <w:szCs w:val="22"/>
                <w:lang w:val="en-US" w:eastAsia="zh-CN" w:bidi="ar-SA"/>
              </w:rPr>
            </w:pPr>
            <w:r>
              <w:rPr>
                <w:rFonts w:hint="eastAsia" w:cstheme="minorBidi"/>
                <w:kern w:val="2"/>
                <w:sz w:val="21"/>
                <w:szCs w:val="22"/>
                <w:lang w:val="en-US" w:eastAsia="zh-CN" w:bidi="ar-SA"/>
              </w:rPr>
              <w:t>农村与区域发展（农业</w:t>
            </w:r>
          </w:p>
          <w:p>
            <w:pPr>
              <w:spacing w:line="300" w:lineRule="exact"/>
              <w:jc w:val="center"/>
              <w:rPr>
                <w:rFonts w:hint="default" w:cstheme="minorBidi"/>
                <w:kern w:val="2"/>
                <w:sz w:val="21"/>
                <w:szCs w:val="22"/>
                <w:lang w:val="en-US" w:eastAsia="zh-CN" w:bidi="ar-SA"/>
              </w:rPr>
            </w:pPr>
            <w:r>
              <w:rPr>
                <w:rFonts w:hint="eastAsia" w:cstheme="minorBidi"/>
                <w:kern w:val="2"/>
                <w:sz w:val="21"/>
                <w:szCs w:val="22"/>
                <w:lang w:val="en-US" w:eastAsia="zh-CN" w:bidi="ar-SA"/>
              </w:rPr>
              <w:t>教育）</w:t>
            </w:r>
          </w:p>
        </w:tc>
        <w:tc>
          <w:tcPr>
            <w:tcW w:w="3000" w:type="dxa"/>
            <w:vAlign w:val="center"/>
          </w:tcPr>
          <w:p>
            <w:pPr>
              <w:spacing w:line="300" w:lineRule="exact"/>
              <w:jc w:val="left"/>
              <w:rPr>
                <w:rFonts w:hint="eastAsia"/>
              </w:rPr>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801" w:type="dxa"/>
            <w:vAlign w:val="center"/>
          </w:tcPr>
          <w:p>
            <w:pPr>
              <w:spacing w:line="300" w:lineRule="exact"/>
              <w:jc w:val="left"/>
              <w:rPr>
                <w:rFonts w:hint="eastAsia"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统招硕士研究生</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eastAsia="zh-CN"/>
                <w14:textFill>
                  <w14:solidFill>
                    <w14:schemeClr w14:val="tx1"/>
                  </w14:solidFill>
                </w14:textFill>
              </w:rPr>
              <w:t>或</w:t>
            </w:r>
            <w:r>
              <w:rPr>
                <w:rFonts w:hint="eastAsia" w:asciiTheme="minorEastAsia" w:hAnsiTheme="minorEastAsia"/>
                <w:color w:val="000000" w:themeColor="text1"/>
                <w:szCs w:val="21"/>
                <w14:textFill>
                  <w14:solidFill>
                    <w14:schemeClr w14:val="tx1"/>
                  </w14:solidFill>
                </w14:textFill>
              </w:rPr>
              <w:t>副教授</w:t>
            </w:r>
            <w:r>
              <w:rPr>
                <w:rFonts w:hint="eastAsia" w:asciiTheme="minorEastAsia" w:hAnsiTheme="minorEastAsia"/>
                <w:color w:val="000000" w:themeColor="text1"/>
                <w:szCs w:val="21"/>
                <w:lang w:val="en-US" w:eastAsia="zh-CN"/>
                <w14:textFill>
                  <w14:solidFill>
                    <w14:schemeClr w14:val="tx1"/>
                  </w14:solidFill>
                </w14:textFill>
              </w:rPr>
              <w:t>及</w:t>
            </w:r>
            <w:r>
              <w:rPr>
                <w:rFonts w:hint="eastAsia" w:asciiTheme="minorEastAsia" w:hAnsiTheme="minorEastAsia"/>
                <w:color w:val="000000" w:themeColor="text1"/>
                <w:szCs w:val="21"/>
                <w14:textFill>
                  <w14:solidFill>
                    <w14:schemeClr w14:val="tx1"/>
                  </w14:solidFill>
                </w14:textFill>
              </w:rPr>
              <w:t>以上</w:t>
            </w:r>
            <w:r>
              <w:rPr>
                <w:rFonts w:hint="eastAsia" w:asciiTheme="minorEastAsia" w:hAnsiTheme="minorEastAsia"/>
                <w:color w:val="000000" w:themeColor="text1"/>
                <w:szCs w:val="21"/>
                <w:lang w:val="en-US" w:eastAsia="zh-CN"/>
                <w14:textFill>
                  <w14:solidFill>
                    <w14:schemeClr w14:val="tx1"/>
                  </w14:solidFill>
                </w14:textFill>
              </w:rPr>
              <w:t>职称均可报名</w:t>
            </w:r>
          </w:p>
        </w:tc>
      </w:tr>
    </w:tbl>
    <w:p>
      <w:pPr>
        <w:spacing w:line="200" w:lineRule="exact"/>
        <w:jc w:val="both"/>
        <w:textAlignment w:val="center"/>
      </w:pPr>
    </w:p>
    <w:tbl>
      <w:tblPr>
        <w:tblStyle w:val="5"/>
        <w:tblW w:w="9180" w:type="dxa"/>
        <w:tblInd w:w="-127" w:type="dxa"/>
        <w:tblLayout w:type="fixed"/>
        <w:tblCellMar>
          <w:top w:w="0" w:type="dxa"/>
          <w:left w:w="0" w:type="dxa"/>
          <w:bottom w:w="0" w:type="dxa"/>
          <w:right w:w="0" w:type="dxa"/>
        </w:tblCellMar>
      </w:tblPr>
      <w:tblGrid>
        <w:gridCol w:w="1777"/>
        <w:gridCol w:w="1699"/>
        <w:gridCol w:w="870"/>
        <w:gridCol w:w="834"/>
        <w:gridCol w:w="1085"/>
        <w:gridCol w:w="1206"/>
        <w:gridCol w:w="1709"/>
      </w:tblGrid>
      <w:tr>
        <w:tblPrEx>
          <w:tblCellMar>
            <w:top w:w="0" w:type="dxa"/>
            <w:left w:w="0" w:type="dxa"/>
            <w:bottom w:w="0" w:type="dxa"/>
            <w:right w:w="0" w:type="dxa"/>
          </w:tblCellMar>
        </w:tblPrEx>
        <w:trPr>
          <w:trHeight w:val="1237"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p>
          <w:p>
            <w:pPr>
              <w:spacing w:line="560" w:lineRule="exact"/>
              <w:textAlignment w:val="center"/>
              <w:rPr>
                <w:rFonts w:hint="eastAsia" w:ascii="黑体" w:hAnsi="黑体" w:eastAsia="黑体" w:cs="方正小标宋简体"/>
                <w:b/>
                <w:bCs w:val="0"/>
                <w:color w:val="000000" w:themeColor="text1"/>
                <w:kern w:val="0"/>
                <w:sz w:val="32"/>
                <w:szCs w:val="32"/>
                <w14:textFill>
                  <w14:solidFill>
                    <w14:schemeClr w14:val="tx1"/>
                  </w14:solidFill>
                </w14:textFill>
              </w:rPr>
            </w:pPr>
            <w:r>
              <w:rPr>
                <w:rFonts w:hint="eastAsia" w:ascii="黑体" w:hAnsi="黑体" w:eastAsia="黑体" w:cs="方正小标宋简体"/>
                <w:b/>
                <w:bCs w:val="0"/>
                <w:color w:val="000000" w:themeColor="text1"/>
                <w:kern w:val="0"/>
                <w:sz w:val="32"/>
                <w:szCs w:val="32"/>
                <w14:textFill>
                  <w14:solidFill>
                    <w14:schemeClr w14:val="tx1"/>
                  </w14:solidFill>
                </w14:textFill>
              </w:rPr>
              <w:t>附件</w:t>
            </w:r>
          </w:p>
          <w:p>
            <w:pPr>
              <w:spacing w:line="560" w:lineRule="exact"/>
              <w:jc w:val="center"/>
              <w:textAlignment w:val="center"/>
              <w:rPr>
                <w:rFonts w:ascii="方正小标宋简体" w:hAnsi="方正小标宋简体" w:eastAsia="方正小标宋简体" w:cs="方正小标宋简体"/>
                <w:b/>
                <w:bCs w:val="0"/>
                <w:color w:val="000000" w:themeColor="text1"/>
                <w:kern w:val="0"/>
                <w:sz w:val="44"/>
                <w:szCs w:val="36"/>
                <w14:textFill>
                  <w14:solidFill>
                    <w14:schemeClr w14:val="tx1"/>
                  </w14:solidFill>
                </w14:textFill>
              </w:rPr>
            </w:pPr>
            <w:r>
              <w:rPr>
                <w:rFonts w:hint="eastAsia" w:ascii="方正小标宋简体" w:hAnsi="方正小标宋简体" w:eastAsia="方正小标宋简体" w:cs="方正小标宋简体"/>
                <w:b/>
                <w:bCs w:val="0"/>
                <w:color w:val="000000" w:themeColor="text1"/>
                <w:kern w:val="0"/>
                <w:sz w:val="44"/>
                <w:szCs w:val="36"/>
                <w14:textFill>
                  <w14:solidFill>
                    <w14:schemeClr w14:val="tx1"/>
                  </w14:solidFill>
                </w14:textFill>
              </w:rPr>
              <w:t>周口职业技术学院高层次人才招聘报名登记表</w:t>
            </w:r>
          </w:p>
          <w:p>
            <w:pPr>
              <w:spacing w:line="200" w:lineRule="exact"/>
              <w:jc w:val="center"/>
              <w:textAlignment w:val="center"/>
              <w:rPr>
                <w:rFonts w:ascii="方正小标宋简体" w:hAnsi="方正小标宋简体" w:eastAsia="方正小标宋简体" w:cs="方正小标宋简体"/>
                <w:b/>
                <w:bCs w:val="0"/>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b/>
                <w:bCs w:val="0"/>
                <w:color w:val="000000" w:themeColor="text1"/>
                <w:kern w:val="0"/>
                <w:sz w:val="36"/>
                <w:szCs w:val="36"/>
                <w14:textFill>
                  <w14:solidFill>
                    <w14:schemeClr w14:val="tx1"/>
                  </w14:solidFill>
                </w14:textFill>
              </w:rPr>
              <w:t xml:space="preserve">  </w:t>
            </w:r>
          </w:p>
        </w:tc>
      </w:tr>
      <w:tr>
        <w:tblPrEx>
          <w:tblCellMar>
            <w:top w:w="0" w:type="dxa"/>
            <w:left w:w="0" w:type="dxa"/>
            <w:bottom w:w="0" w:type="dxa"/>
            <w:right w:w="0" w:type="dxa"/>
          </w:tblCellMar>
        </w:tblPrEx>
        <w:trPr>
          <w:trHeight w:val="62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姓  名</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性 别</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出生年月</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照片</w:t>
            </w:r>
          </w:p>
        </w:tc>
      </w:tr>
      <w:tr>
        <w:tblPrEx>
          <w:tblCellMar>
            <w:top w:w="0" w:type="dxa"/>
            <w:left w:w="0" w:type="dxa"/>
            <w:bottom w:w="0" w:type="dxa"/>
            <w:right w:w="0" w:type="dxa"/>
          </w:tblCellMar>
        </w:tblPrEx>
        <w:trPr>
          <w:trHeight w:val="63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籍  贯</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民 族</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政治面貌</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0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最高</w:t>
            </w:r>
            <w:r>
              <w:rPr>
                <w:rFonts w:hint="eastAsia" w:ascii="仿宋" w:hAnsi="仿宋" w:eastAsia="仿宋" w:cs="仿宋"/>
                <w:color w:val="000000" w:themeColor="text1"/>
                <w:kern w:val="0"/>
                <w:sz w:val="24"/>
                <w:szCs w:val="24"/>
                <w14:textFill>
                  <w14:solidFill>
                    <w14:schemeClr w14:val="tx1"/>
                  </w14:solidFill>
                </w14:textFill>
              </w:rPr>
              <w:t>学历</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最高</w:t>
            </w:r>
            <w:r>
              <w:rPr>
                <w:rFonts w:hint="eastAsia" w:ascii="仿宋" w:hAnsi="仿宋" w:eastAsia="仿宋" w:cs="仿宋"/>
                <w:color w:val="000000" w:themeColor="text1"/>
                <w:kern w:val="0"/>
                <w:sz w:val="24"/>
                <w:szCs w:val="24"/>
                <w14:textFill>
                  <w14:solidFill>
                    <w14:schemeClr w14:val="tx1"/>
                  </w14:solidFill>
                </w14:textFill>
              </w:rPr>
              <w:t>学位</w:t>
            </w:r>
          </w:p>
        </w:tc>
        <w:tc>
          <w:tcPr>
            <w:tcW w:w="120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8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毕业院校及</w:t>
            </w:r>
          </w:p>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专业</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毕业时间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707"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现工作单位</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参加工作时间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686"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联系电话</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职称等级</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72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身份证号码</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179"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简  历 </w:t>
            </w:r>
          </w:p>
          <w:p>
            <w:pPr>
              <w:jc w:val="center"/>
              <w:textAlignment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(填写大学学习及工作经历，</w:t>
            </w:r>
          </w:p>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本科</w:t>
            </w:r>
            <w:r>
              <w:rPr>
                <w:rFonts w:hint="eastAsia" w:ascii="仿宋" w:hAnsi="仿宋" w:eastAsia="仿宋" w:cs="仿宋"/>
                <w:color w:val="000000" w:themeColor="text1"/>
                <w:kern w:val="0"/>
                <w:sz w:val="24"/>
                <w:szCs w:val="24"/>
                <w:lang w:val="en-US" w:eastAsia="zh-CN"/>
                <w14:textFill>
                  <w14:solidFill>
                    <w14:schemeClr w14:val="tx1"/>
                  </w14:solidFill>
                </w14:textFill>
              </w:rPr>
              <w:t>学历</w:t>
            </w:r>
            <w:r>
              <w:rPr>
                <w:rFonts w:hint="eastAsia" w:ascii="仿宋" w:hAnsi="仿宋" w:eastAsia="仿宋" w:cs="仿宋"/>
                <w:color w:val="000000" w:themeColor="text1"/>
                <w:kern w:val="0"/>
                <w:sz w:val="24"/>
                <w:szCs w:val="24"/>
                <w14:textFill>
                  <w14:solidFill>
                    <w14:schemeClr w14:val="tx1"/>
                  </w14:solidFill>
                </w14:textFill>
              </w:rPr>
              <w:t>必填）</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812"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本人承诺</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left"/>
              <w:textAlignment w:val="bottom"/>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本报名表所填写的信息准确无误，所提交的证件、资料和照片真实有效，若有虚假， 所产生的一切后果由本人承担。 </w:t>
            </w:r>
          </w:p>
          <w:p>
            <w:pPr>
              <w:jc w:val="left"/>
              <w:textAlignment w:val="bottom"/>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报名人（签名）：</w:t>
            </w:r>
          </w:p>
          <w:p>
            <w:pPr>
              <w:jc w:val="left"/>
              <w:textAlignment w:val="bottom"/>
              <w:rPr>
                <w:rFonts w:hint="eastAsia" w:ascii="仿宋" w:hAnsi="仿宋" w:eastAsia="仿宋" w:cs="仿宋"/>
                <w:color w:val="000000" w:themeColor="text1"/>
                <w:kern w:val="0"/>
                <w:sz w:val="24"/>
                <w:szCs w:val="24"/>
                <w:lang w:eastAsia="zh-CN"/>
                <w14:textFill>
                  <w14:solidFill>
                    <w14:schemeClr w14:val="tx1"/>
                  </w14:solidFill>
                </w14:textFill>
              </w:rPr>
            </w:pPr>
          </w:p>
          <w:p>
            <w:pPr>
              <w:jc w:val="left"/>
              <w:textAlignment w:val="bottom"/>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年    月    日</w:t>
            </w: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应聘</w:t>
            </w:r>
            <w:r>
              <w:rPr>
                <w:rFonts w:hint="eastAsia" w:ascii="仿宋" w:hAnsi="仿宋" w:eastAsia="仿宋" w:cs="仿宋"/>
                <w:color w:val="000000" w:themeColor="text1"/>
                <w:kern w:val="0"/>
                <w:sz w:val="24"/>
                <w:szCs w:val="24"/>
                <w:lang w:val="en-US" w:eastAsia="zh-CN"/>
                <w14:textFill>
                  <w14:solidFill>
                    <w14:schemeClr w14:val="tx1"/>
                  </w14:solidFill>
                </w14:textFill>
              </w:rPr>
              <w:t>岗位</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备  注</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459"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jc w:val="left"/>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填表日期：    年   月   日</w:t>
            </w:r>
          </w:p>
          <w:p>
            <w:pPr>
              <w:jc w:val="left"/>
              <w:textAlignment w:val="center"/>
              <w:rPr>
                <w:rFonts w:hint="eastAsia" w:ascii="仿宋" w:hAnsi="仿宋" w:eastAsia="仿宋" w:cs="仿宋"/>
                <w:color w:val="000000" w:themeColor="text1"/>
                <w:kern w:val="0"/>
                <w:sz w:val="24"/>
                <w:szCs w:val="24"/>
                <w14:textFill>
                  <w14:solidFill>
                    <w14:schemeClr w14:val="tx1"/>
                  </w14:solidFill>
                </w14:textFill>
              </w:rPr>
            </w:pPr>
          </w:p>
          <w:p>
            <w:pPr>
              <w:jc w:val="left"/>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注：1、本表一式2份。</w:t>
            </w:r>
          </w:p>
          <w:p>
            <w:pPr>
              <w:numPr>
                <w:ilvl w:val="0"/>
                <w:numId w:val="1"/>
              </w:numPr>
              <w:jc w:val="left"/>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表格内容需如实填写完整，严禁弄虚作假。</w:t>
            </w:r>
          </w:p>
          <w:p>
            <w:pPr>
              <w:numPr>
                <w:ilvl w:val="0"/>
                <w:numId w:val="1"/>
              </w:numPr>
              <w:jc w:val="left"/>
              <w:textAlignment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每份表格贴1张近期免冠一寸蓝底照片（电子版需将照片扫描上）。</w:t>
            </w:r>
          </w:p>
        </w:tc>
      </w:tr>
    </w:tbl>
    <w:p>
      <w:pPr>
        <w:rPr>
          <w:rFonts w:ascii="仿宋_GB2312" w:eastAsia="仿宋_GB2312"/>
          <w:color w:val="000000" w:themeColor="text1"/>
          <w:sz w:val="32"/>
          <w:szCs w:val="32"/>
          <w14:textFill>
            <w14:solidFill>
              <w14:schemeClr w14:val="tx1"/>
            </w14:solidFill>
          </w14:textFill>
        </w:rPr>
      </w:pPr>
    </w:p>
    <w:sectPr>
      <w:footerReference r:id="rId3"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63110"/>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F50F6E"/>
    <w:multiLevelType w:val="singleLevel"/>
    <w:tmpl w:val="77F50F6E"/>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MmE2MDhjNDc4YzBiZTljOGMxYjVhMTExMTI3MWYifQ=="/>
  </w:docVars>
  <w:rsids>
    <w:rsidRoot w:val="00BD0B1E"/>
    <w:rsid w:val="00031691"/>
    <w:rsid w:val="0006226E"/>
    <w:rsid w:val="000C38C1"/>
    <w:rsid w:val="000F5AA2"/>
    <w:rsid w:val="0014450A"/>
    <w:rsid w:val="001449EF"/>
    <w:rsid w:val="00173F02"/>
    <w:rsid w:val="001A1B89"/>
    <w:rsid w:val="001B73D4"/>
    <w:rsid w:val="002058A3"/>
    <w:rsid w:val="00234081"/>
    <w:rsid w:val="00252B3B"/>
    <w:rsid w:val="00325B17"/>
    <w:rsid w:val="00330BF8"/>
    <w:rsid w:val="003477CE"/>
    <w:rsid w:val="00352CDD"/>
    <w:rsid w:val="003B36D5"/>
    <w:rsid w:val="0043002D"/>
    <w:rsid w:val="00467307"/>
    <w:rsid w:val="004B613E"/>
    <w:rsid w:val="004E4611"/>
    <w:rsid w:val="005220F4"/>
    <w:rsid w:val="00545C2F"/>
    <w:rsid w:val="00547FC2"/>
    <w:rsid w:val="00567096"/>
    <w:rsid w:val="005751E6"/>
    <w:rsid w:val="005A528D"/>
    <w:rsid w:val="006456EE"/>
    <w:rsid w:val="006552BB"/>
    <w:rsid w:val="00681C57"/>
    <w:rsid w:val="006D7366"/>
    <w:rsid w:val="006F642E"/>
    <w:rsid w:val="007274BD"/>
    <w:rsid w:val="00733943"/>
    <w:rsid w:val="0075184D"/>
    <w:rsid w:val="00821F01"/>
    <w:rsid w:val="008524DC"/>
    <w:rsid w:val="00876202"/>
    <w:rsid w:val="008B7E70"/>
    <w:rsid w:val="008D570E"/>
    <w:rsid w:val="0090292A"/>
    <w:rsid w:val="00936DA0"/>
    <w:rsid w:val="009433A6"/>
    <w:rsid w:val="00944DF6"/>
    <w:rsid w:val="00946F66"/>
    <w:rsid w:val="009C4865"/>
    <w:rsid w:val="009E004B"/>
    <w:rsid w:val="00A41A5F"/>
    <w:rsid w:val="00A75D5F"/>
    <w:rsid w:val="00AE46AD"/>
    <w:rsid w:val="00B470EF"/>
    <w:rsid w:val="00B7301B"/>
    <w:rsid w:val="00BD0B1E"/>
    <w:rsid w:val="00BF3319"/>
    <w:rsid w:val="00C217D8"/>
    <w:rsid w:val="00C60F27"/>
    <w:rsid w:val="00C80B2C"/>
    <w:rsid w:val="00CB670B"/>
    <w:rsid w:val="00CC6AAD"/>
    <w:rsid w:val="00CE2F24"/>
    <w:rsid w:val="00D149E8"/>
    <w:rsid w:val="00D21EA2"/>
    <w:rsid w:val="00D513F3"/>
    <w:rsid w:val="00D76B03"/>
    <w:rsid w:val="00DB7A88"/>
    <w:rsid w:val="00DB7B21"/>
    <w:rsid w:val="00E042F0"/>
    <w:rsid w:val="00E94AF6"/>
    <w:rsid w:val="00EA3995"/>
    <w:rsid w:val="00EE6103"/>
    <w:rsid w:val="00EF394F"/>
    <w:rsid w:val="00EF53C1"/>
    <w:rsid w:val="00F31737"/>
    <w:rsid w:val="00F826BE"/>
    <w:rsid w:val="00F916C6"/>
    <w:rsid w:val="00FC288A"/>
    <w:rsid w:val="00FD1E30"/>
    <w:rsid w:val="00FD6FF7"/>
    <w:rsid w:val="01103536"/>
    <w:rsid w:val="0232236A"/>
    <w:rsid w:val="02697F08"/>
    <w:rsid w:val="0274223A"/>
    <w:rsid w:val="0712426B"/>
    <w:rsid w:val="096649A8"/>
    <w:rsid w:val="149934DE"/>
    <w:rsid w:val="16B07C4B"/>
    <w:rsid w:val="1CC219B9"/>
    <w:rsid w:val="26330CB6"/>
    <w:rsid w:val="2729693B"/>
    <w:rsid w:val="29001CAB"/>
    <w:rsid w:val="2C715F39"/>
    <w:rsid w:val="2F282146"/>
    <w:rsid w:val="3138309B"/>
    <w:rsid w:val="313958DB"/>
    <w:rsid w:val="31D41EB8"/>
    <w:rsid w:val="32AB503A"/>
    <w:rsid w:val="3F7C36DE"/>
    <w:rsid w:val="40BA475F"/>
    <w:rsid w:val="44501A81"/>
    <w:rsid w:val="45500F3F"/>
    <w:rsid w:val="4E6963B4"/>
    <w:rsid w:val="4FF47930"/>
    <w:rsid w:val="54A72D76"/>
    <w:rsid w:val="571C5A54"/>
    <w:rsid w:val="5A1308BD"/>
    <w:rsid w:val="5C4E9A84"/>
    <w:rsid w:val="5FD23B9D"/>
    <w:rsid w:val="63E23B6B"/>
    <w:rsid w:val="67524EC0"/>
    <w:rsid w:val="6A3E39EB"/>
    <w:rsid w:val="7BD71048"/>
    <w:rsid w:val="7C550D74"/>
    <w:rsid w:val="7CB92D61"/>
    <w:rsid w:val="7DBE4B8C"/>
    <w:rsid w:val="7F7ADB10"/>
    <w:rsid w:val="8375A0C6"/>
    <w:rsid w:val="BFF3A3ED"/>
    <w:rsid w:val="CE7FB851"/>
    <w:rsid w:val="CFDF8648"/>
    <w:rsid w:val="FCF55C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FollowedHyperlink"/>
    <w:basedOn w:val="7"/>
    <w:semiHidden/>
    <w:unhideWhenUsed/>
    <w:qFormat/>
    <w:uiPriority w:val="99"/>
    <w:rPr>
      <w:color w:val="404040"/>
      <w:u w:val="none"/>
    </w:rPr>
  </w:style>
  <w:style w:type="character" w:styleId="9">
    <w:name w:val="Hyperlink"/>
    <w:basedOn w:val="7"/>
    <w:unhideWhenUsed/>
    <w:qFormat/>
    <w:uiPriority w:val="99"/>
    <w:rPr>
      <w:color w:val="404040"/>
      <w:u w:val="none"/>
    </w:rPr>
  </w:style>
  <w:style w:type="character" w:customStyle="1" w:styleId="10">
    <w:name w:val="批注框文本 Char"/>
    <w:basedOn w:val="7"/>
    <w:link w:val="2"/>
    <w:semiHidden/>
    <w:qFormat/>
    <w:uiPriority w:val="99"/>
    <w:rPr>
      <w:sz w:val="18"/>
      <w:szCs w:val="18"/>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qFormat/>
    <w:uiPriority w:val="99"/>
    <w:rPr>
      <w:sz w:val="18"/>
      <w:szCs w:val="18"/>
    </w:rPr>
  </w:style>
  <w:style w:type="character" w:customStyle="1" w:styleId="13">
    <w:name w:val="pass"/>
    <w:basedOn w:val="7"/>
    <w:qFormat/>
    <w:uiPriority w:val="0"/>
    <w:rPr>
      <w:color w:val="D50512"/>
    </w:rPr>
  </w:style>
  <w:style w:type="character" w:customStyle="1" w:styleId="14">
    <w:name w:val="clear2"/>
    <w:basedOn w:val="7"/>
    <w:qFormat/>
    <w:uiPriority w:val="0"/>
    <w:rPr>
      <w:sz w:val="0"/>
      <w:szCs w:val="0"/>
    </w:rPr>
  </w:style>
  <w:style w:type="paragraph" w:customStyle="1" w:styleId="15">
    <w:name w:val="_Style 14"/>
    <w:basedOn w:val="1"/>
    <w:next w:val="1"/>
    <w:qFormat/>
    <w:uiPriority w:val="0"/>
    <w:pPr>
      <w:pBdr>
        <w:bottom w:val="single" w:color="auto" w:sz="6" w:space="1"/>
      </w:pBdr>
      <w:jc w:val="center"/>
    </w:pPr>
    <w:rPr>
      <w:rFonts w:ascii="Arial" w:eastAsia="宋体"/>
      <w:vanish/>
      <w:sz w:val="16"/>
    </w:rPr>
  </w:style>
  <w:style w:type="paragraph" w:customStyle="1" w:styleId="16">
    <w:name w:val="_Style 15"/>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11</Pages>
  <Words>5609</Words>
  <Characters>5886</Characters>
  <Lines>26</Lines>
  <Paragraphs>7</Paragraphs>
  <TotalTime>15</TotalTime>
  <ScaleCrop>false</ScaleCrop>
  <LinksUpToDate>false</LinksUpToDate>
  <CharactersWithSpaces>6055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2021-10-12T11:14:00Z</dcterms:created>
  <dc:creator>xb21cn</dc:creator>
  <cp:lastModifiedBy>Lenovo</cp:lastModifiedBy>
  <cp:lastPrinted>2022-06-02T05:33:00Z</cp:lastPrinted>
  <dcterms:modified xsi:type="dcterms:W3CDTF">2022-06-02T07:59:49Z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CB3BE36C4C924526A262C9D613B811AB</vt:lpwstr>
  </property>
</Properties>
</file>