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widowControl/>
        <w:snapToGrid w:val="0"/>
        <w:spacing w:line="240" w:lineRule="atLeast"/>
        <w:jc w:val="center"/>
        <w:rPr>
          <w:rFonts w:hint="eastAsia" w:ascii="方正小标宋简体" w:hAnsi="黑体" w:eastAsia="方正小标宋简体"/>
          <w:b w:val="0"/>
          <w:bCs/>
          <w:color w:val="000000"/>
          <w:sz w:val="44"/>
          <w:szCs w:val="36"/>
        </w:rPr>
      </w:pPr>
      <w:r>
        <w:rPr>
          <w:rFonts w:hint="eastAsia" w:ascii="方正小标宋简体" w:hAnsi="黑体" w:eastAsia="方正小标宋简体"/>
          <w:b w:val="0"/>
          <w:bCs/>
          <w:color w:val="000000"/>
          <w:sz w:val="44"/>
          <w:szCs w:val="36"/>
        </w:rPr>
        <w:t>泸州职业技术学院</w:t>
      </w:r>
    </w:p>
    <w:p>
      <w:pPr>
        <w:widowControl/>
        <w:snapToGrid w:val="0"/>
        <w:spacing w:line="240" w:lineRule="atLeast"/>
        <w:jc w:val="center"/>
        <w:rPr>
          <w:rFonts w:hint="eastAsia" w:ascii="方正小标宋简体" w:hAnsi="黑体" w:eastAsia="方正小标宋简体"/>
          <w:b w:val="0"/>
          <w:bCs/>
          <w:color w:val="000000"/>
          <w:sz w:val="44"/>
          <w:szCs w:val="36"/>
        </w:rPr>
      </w:pPr>
      <w:r>
        <w:rPr>
          <w:rFonts w:hint="eastAsia" w:ascii="方正小标宋简体" w:hAnsi="黑体" w:eastAsia="方正小标宋简体"/>
          <w:b w:val="0"/>
          <w:bCs/>
          <w:color w:val="000000"/>
          <w:sz w:val="44"/>
          <w:szCs w:val="36"/>
        </w:rPr>
        <w:t>高层次人才引进考核管理办法（</w:t>
      </w:r>
      <w:r>
        <w:rPr>
          <w:rFonts w:hint="eastAsia" w:ascii="方正小标宋简体" w:hAnsi="黑体" w:eastAsia="方正小标宋简体"/>
          <w:b w:val="0"/>
          <w:bCs/>
          <w:color w:val="000000"/>
          <w:sz w:val="44"/>
          <w:szCs w:val="36"/>
          <w:lang w:eastAsia="zh-CN"/>
        </w:rPr>
        <w:t>节选</w:t>
      </w:r>
      <w:r>
        <w:rPr>
          <w:rFonts w:hint="eastAsia" w:ascii="方正小标宋简体" w:hAnsi="黑体" w:eastAsia="方正小标宋简体"/>
          <w:b w:val="0"/>
          <w:bCs/>
          <w:color w:val="000000"/>
          <w:sz w:val="44"/>
          <w:szCs w:val="36"/>
        </w:rPr>
        <w:t>）</w:t>
      </w:r>
    </w:p>
    <w:p>
      <w:pPr>
        <w:widowControl/>
        <w:spacing w:line="240" w:lineRule="atLeast"/>
        <w:ind w:firstLine="560" w:firstLineChars="200"/>
        <w:contextualSpacing/>
        <w:rPr>
          <w:rFonts w:hint="eastAsia" w:ascii="方正小标宋简体" w:eastAsia="方正小标宋简体"/>
          <w:color w:val="000000"/>
          <w:sz w:val="28"/>
          <w:szCs w:val="28"/>
        </w:rPr>
      </w:pPr>
      <w:bookmarkStart w:id="0" w:name="_GoBack"/>
      <w:bookmarkEnd w:id="0"/>
    </w:p>
    <w:p>
      <w:pPr>
        <w:spacing w:line="560" w:lineRule="exact"/>
        <w:contextualSpacing/>
        <w:jc w:val="center"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第二章  引进范围及条件</w:t>
      </w:r>
    </w:p>
    <w:p>
      <w:pPr>
        <w:spacing w:line="560" w:lineRule="exact"/>
        <w:ind w:firstLine="643" w:firstLineChars="200"/>
        <w:contextualSpacing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u w:val="none"/>
        </w:rPr>
        <w:t>第四条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 xml:space="preserve">  采用占编聘用方式全职引进。</w:t>
      </w:r>
    </w:p>
    <w:p>
      <w:pPr>
        <w:spacing w:line="560" w:lineRule="exact"/>
        <w:ind w:firstLine="643" w:firstLineChars="200"/>
        <w:contextualSpacing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u w:val="none"/>
        </w:rPr>
        <w:t>第五条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 xml:space="preserve">  基本条件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（一）政治素质好、职业道德优、学术风气正、身体素质良，具有良好的团队合作精神。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（二）符合二级学院学科专业建设发展需求，能够显著促进我校教学、科研水平提升。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 xml:space="preserve">（三）在学术、技术领域具有较高造诣和突出成果，具有博士学位或正高级专业技术职务，或具有技师及以上资格等级的高技能人才或特殊人才。 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（四）不存在相关法律法规限制流动的情形，引进人才年龄</w:t>
      </w:r>
      <w:r>
        <w:rPr>
          <w:rFonts w:hint="eastAsia" w:ascii="仿宋" w:hAnsi="仿宋" w:eastAsia="仿宋" w:cs="Tahoma"/>
          <w:color w:val="auto"/>
          <w:sz w:val="32"/>
          <w:szCs w:val="32"/>
          <w:u w:val="none"/>
        </w:rPr>
        <w:t>一般在50岁以下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。</w:t>
      </w:r>
    </w:p>
    <w:p>
      <w:pPr>
        <w:spacing w:line="560" w:lineRule="exact"/>
        <w:ind w:firstLine="643" w:firstLineChars="200"/>
        <w:contextualSpacing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u w:val="none"/>
        </w:rPr>
        <w:t>第六条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 xml:space="preserve">  引进对象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（一）杰出人才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 w:cs="Tahoma"/>
          <w:b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“国家海外高层次人才引进计划”顶尖人才、创新长期项目入选者、外国专家项目入选者，“国家高层次人才特殊支持计划”科技创新领军人才、哲学社会科学领军人才、教学名师（含教育部“国家教学名师”）项目入选者；教育部“长江学者奖励计划”讲席学者、特聘教授（含特设岗位）；国家杰出青年科学基金项目获得者，中华青年科技奖获得者，国防科技卓越青年科学基金（简称“卓青”）获得者</w:t>
      </w:r>
      <w:r>
        <w:rPr>
          <w:rFonts w:hint="eastAsia" w:ascii="仿宋" w:hAnsi="仿宋" w:eastAsia="仿宋" w:cs="Tahoma"/>
          <w:color w:val="auto"/>
          <w:sz w:val="32"/>
          <w:szCs w:val="32"/>
          <w:u w:val="none"/>
        </w:rPr>
        <w:t>；国家“万人计划”入选者；国家教学成果奖一等奖及以上获得者（排名第一）；“马克思主义理论研究和建设工程”首席专家；</w:t>
      </w:r>
      <w:r>
        <w:rPr>
          <w:rFonts w:hint="eastAsia" w:ascii="仿宋" w:hAnsi="仿宋" w:eastAsia="仿宋" w:cs="Tahoma"/>
          <w:bCs/>
          <w:color w:val="auto"/>
          <w:sz w:val="32"/>
          <w:szCs w:val="32"/>
          <w:u w:val="none"/>
        </w:rPr>
        <w:t>其他经学术委员会认定符合顶尖人才的人员。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color w:val="auto"/>
          <w:sz w:val="32"/>
          <w:szCs w:val="32"/>
          <w:highlight w:val="yellow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（二）领军人才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中国青年科技奖获得者；“国家海外高层次人才引进计划”青年项目入选者；“国家高层次人才特殊支持计划”青年拔尖人才；“长江学者奖励计划”青年项目入选者；国家优秀青年科学基金项目获得者；“世界技能大赛”获奖者、“全国技术能手”、“中华技能大奖”获得者，各行业“首席技能专家”“特级技能专家”；教育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</w:rPr>
        <w:t>部“高校青年教师奖”人员、“新世纪优秀人才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支持计划”人选；省级学术技术带头人、省级有突出贡献优秀专家、省“千人计划”、“天府万人计划”、“四川杰出创新人才”等省级人才项目入选者；国家级教学团队负责人、省部级科技创新团队带头人；专业技术二级岗人员；其他经学术委员会认定符合杰出人才的人员。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（三）拔尖人才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享受省政府特殊津贴专家、省级优秀教学团队带头人、国家级重点专业负责人；省级教学名师、国家级教学成果奖三等奖及以上项目第一完成人、省级教学成果奖一等奖项目第一完成人；省级技能大师、省级技能大师工作室主持人；全国职业技能大赛金奖获得者；其</w:t>
      </w:r>
      <w:r>
        <w:rPr>
          <w:rFonts w:hint="eastAsia" w:ascii="仿宋" w:hAnsi="仿宋" w:eastAsia="仿宋"/>
          <w:bCs/>
          <w:color w:val="auto"/>
          <w:sz w:val="32"/>
          <w:szCs w:val="32"/>
          <w:u w:val="none"/>
        </w:rPr>
        <w:t>他经学术委员会认定符合领军人才的人员。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（四）优秀人才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u w:val="none"/>
        </w:rPr>
        <w:t>国家级专业教学资源库主持人、国家级精品资源共享课或精品在线开放课程主持人、全国职业院校教师教学能力大赛一等奖及以上获得者（教育部举办）、全国职业技能大赛一等奖及以上获得者（人社部举办）、省级教学成果奖一等奖及以上项目第一完成人；省级重点专业（重点实验室）负责人，专业技术三级岗人员，全国职业技能大赛银奖获得者；业内公认的（上海交通大学ARWU世界大学排行业榜）全球排名前100的高校毕业博士研究生；其他经学术委员会认定符合拔尖人才的人员。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（五）骨干人才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u w:val="none"/>
        </w:rPr>
        <w:t>专业技术四级岗人员，博士研究生（一般专业），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u w:val="none"/>
        </w:rPr>
        <w:t>全国职业技能大赛铜奖及以上获奖人员；大中型企业首席技师、特聘技师</w:t>
      </w:r>
      <w:r>
        <w:rPr>
          <w:rFonts w:hint="eastAsia" w:ascii="仿宋" w:hAnsi="仿宋" w:eastAsia="仿宋"/>
          <w:bCs/>
          <w:color w:val="auto"/>
          <w:sz w:val="32"/>
          <w:szCs w:val="32"/>
          <w:u w:val="none"/>
        </w:rPr>
        <w:t>；国家级课题主持人；其他经学术委员会认定符合骨干人才的人员。</w:t>
      </w:r>
    </w:p>
    <w:p>
      <w:pPr>
        <w:spacing w:line="560" w:lineRule="exact"/>
        <w:contextualSpacing/>
        <w:jc w:val="center"/>
        <w:rPr>
          <w:rFonts w:hint="eastAsia" w:ascii="仿宋" w:hAnsi="仿宋" w:eastAsia="仿宋"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u w:val="none"/>
        </w:rPr>
        <w:t>第三章  引进待遇</w:t>
      </w:r>
    </w:p>
    <w:p>
      <w:pPr>
        <w:spacing w:line="560" w:lineRule="exact"/>
        <w:ind w:firstLine="643" w:firstLineChars="200"/>
        <w:contextualSpacing/>
        <w:rPr>
          <w:rFonts w:hint="eastAsia" w:ascii="仿宋" w:hAnsi="仿宋" w:eastAsia="仿宋"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u w:val="none"/>
        </w:rPr>
        <w:t>第七条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u w:val="none"/>
        </w:rPr>
        <w:t xml:space="preserve">  </w:t>
      </w:r>
      <w:r>
        <w:rPr>
          <w:rFonts w:hint="eastAsia" w:ascii="仿宋" w:hAnsi="仿宋" w:eastAsia="仿宋"/>
          <w:bCs/>
          <w:color w:val="auto"/>
          <w:sz w:val="32"/>
          <w:szCs w:val="32"/>
          <w:u w:val="none"/>
        </w:rPr>
        <w:t>引进人才待遇。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97"/>
        <w:gridCol w:w="5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u w:val="none"/>
              </w:rPr>
              <w:t>序号</w:t>
            </w: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u w:val="none"/>
              </w:rPr>
              <w:t>人才类别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u w:val="none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  <w:lang w:eastAsia="zh-CN"/>
              </w:rPr>
              <w:t>杰出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人才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1.提供125m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校内有产权商品房1套、安家补助50万元；</w:t>
            </w:r>
          </w:p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2.科研启动经费：理工类80-100万元、人文社科类40-60万元；</w:t>
            </w:r>
          </w:p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3.年薪酬50万元以上。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  <w:lang w:eastAsia="zh-CN"/>
              </w:rPr>
              <w:t>领军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人才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1.提供125m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校内有产权商品房1套、安家补助10万元；</w:t>
            </w:r>
          </w:p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2.科研启动经费：理工类50-60万元、人文社科类30-40万元；</w:t>
            </w:r>
          </w:p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3.年薪酬45万元以上。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  <w:lang w:eastAsia="zh-CN"/>
              </w:rPr>
              <w:t>拔尖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人才</w:t>
            </w:r>
          </w:p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</w:p>
        </w:tc>
        <w:tc>
          <w:tcPr>
            <w:tcW w:w="6520" w:type="dxa"/>
            <w:noWrap w:val="0"/>
            <w:vAlign w:val="top"/>
          </w:tcPr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1.提供110m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校内有产权商品房1套；</w:t>
            </w:r>
          </w:p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2.科研启动经费：理工类40-50万元、人文社科类20-30万元；</w:t>
            </w:r>
          </w:p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3.年薪酬3</w:t>
            </w:r>
            <w:r>
              <w:rPr>
                <w:rFonts w:ascii="仿宋" w:hAnsi="仿宋" w:eastAsia="仿宋"/>
                <w:bCs/>
                <w:color w:val="auto"/>
                <w:sz w:val="24"/>
                <w:u w:val="none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-40万元。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36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4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  <w:lang w:eastAsia="zh-CN"/>
              </w:rPr>
              <w:t>优秀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人才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1.提供100m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校内有产权商品房1套；</w:t>
            </w:r>
          </w:p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2.科研启动经费：理工类30-40万元、人文社科类20-</w:t>
            </w:r>
            <w:r>
              <w:rPr>
                <w:rFonts w:ascii="仿宋" w:hAnsi="仿宋" w:eastAsia="仿宋"/>
                <w:bCs/>
                <w:color w:val="auto"/>
                <w:sz w:val="24"/>
                <w:u w:val="none"/>
              </w:rPr>
              <w:t>25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万元；</w:t>
            </w:r>
          </w:p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3.年薪酬3</w:t>
            </w:r>
            <w:r>
              <w:rPr>
                <w:rFonts w:ascii="仿宋" w:hAnsi="仿宋" w:eastAsia="仿宋"/>
                <w:bCs/>
                <w:color w:val="auto"/>
                <w:sz w:val="24"/>
                <w:u w:val="none"/>
              </w:rPr>
              <w:t>0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-35万元。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restart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骨干人才</w:t>
            </w:r>
          </w:p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（A类）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1.提供90m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校内有产权商品房1套；</w:t>
            </w:r>
          </w:p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2.科研启动经费</w:t>
            </w:r>
            <w:r>
              <w:rPr>
                <w:rFonts w:ascii="仿宋" w:hAnsi="仿宋" w:eastAsia="仿宋"/>
                <w:bCs/>
                <w:color w:val="auto"/>
                <w:sz w:val="24"/>
                <w:u w:val="none"/>
              </w:rPr>
              <w:t>15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-2</w:t>
            </w:r>
            <w:r>
              <w:rPr>
                <w:rFonts w:ascii="仿宋" w:hAnsi="仿宋" w:eastAsia="仿宋"/>
                <w:bCs/>
                <w:color w:val="auto"/>
                <w:sz w:val="24"/>
                <w:u w:val="none"/>
              </w:rPr>
              <w:t>0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万元；</w:t>
            </w:r>
          </w:p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3.年薪酬2</w:t>
            </w:r>
            <w:r>
              <w:rPr>
                <w:rFonts w:ascii="仿宋" w:hAnsi="仿宋" w:eastAsia="仿宋"/>
                <w:bCs/>
                <w:color w:val="auto"/>
                <w:sz w:val="24"/>
                <w:u w:val="none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-30万元。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骨干人才</w:t>
            </w:r>
          </w:p>
          <w:p>
            <w:pPr>
              <w:spacing w:line="380" w:lineRule="exact"/>
              <w:contextualSpacing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（B类）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1.40m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校内有产权商品房1套；</w:t>
            </w:r>
          </w:p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2.科研启动经费</w:t>
            </w:r>
            <w:r>
              <w:rPr>
                <w:rFonts w:ascii="仿宋" w:hAnsi="仿宋" w:eastAsia="仿宋"/>
                <w:bCs/>
                <w:color w:val="auto"/>
                <w:sz w:val="24"/>
                <w:u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0-15万元；</w:t>
            </w:r>
          </w:p>
          <w:p>
            <w:pPr>
              <w:spacing w:line="380" w:lineRule="exact"/>
              <w:ind w:firstLine="480" w:firstLineChars="200"/>
              <w:contextualSpacing/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u w:val="none"/>
              </w:rPr>
              <w:t>3.年薪酬20-25万元。</w:t>
            </w:r>
          </w:p>
        </w:tc>
      </w:tr>
    </w:tbl>
    <w:p>
      <w:pPr>
        <w:rPr>
          <w:color w:val="auto"/>
          <w:u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WNhZjI3OTVlMjM2MDFlNTk5ZWNiYzUxMTliZWQifQ=="/>
  </w:docVars>
  <w:rsids>
    <w:rsidRoot w:val="5B24705E"/>
    <w:rsid w:val="236B6244"/>
    <w:rsid w:val="26A527B9"/>
    <w:rsid w:val="445664B5"/>
    <w:rsid w:val="5B2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10395</Words>
  <Characters>10640</Characters>
  <Lines>0</Lines>
  <Paragraphs>0</Paragraphs>
  <TotalTime>1</TotalTime>
  <ScaleCrop>false</ScaleCrop>
  <LinksUpToDate>false</LinksUpToDate>
  <CharactersWithSpaces>10696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2022-04-01T01:45:00Z</dcterms:created>
  <dc:creator>王春春yan</dc:creator>
  <cp:lastModifiedBy>小倩</cp:lastModifiedBy>
  <cp:lastPrinted>2022-06-22T03:08:20Z</cp:lastPrinted>
  <dcterms:modified xsi:type="dcterms:W3CDTF">2022-06-22T03:12:34Z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130915BE0E1548408CC68D044DAF0092</vt:lpwstr>
  </property>
</Properties>
</file>