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rPr>
      </w:pPr>
      <w:r>
        <w:rPr>
          <w:rFonts w:hint="eastAsia" w:ascii="仿宋_GB2312" w:hAnsi="仿宋_GB2312" w:eastAsia="仿宋_GB2312" w:cs="仿宋_GB2312"/>
          <w:b/>
          <w:kern w:val="0"/>
          <w:sz w:val="30"/>
          <w:szCs w:val="30"/>
        </w:rPr>
        <w:t>附件2</w:t>
      </w:r>
    </w:p>
    <w:p>
      <w:pPr>
        <w:spacing w:line="560" w:lineRule="exact"/>
        <w:jc w:val="center"/>
        <w:rPr>
          <w:rFonts w:ascii="方正小标宋简体" w:hAnsi="仿宋_GB2312" w:eastAsia="方正小标宋简体" w:cs="仿宋_GB2312"/>
          <w:kern w:val="0"/>
          <w:sz w:val="2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3</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val="en-US" w:eastAsia="zh-CN"/>
        </w:rPr>
        <w:t>蓬莱区</w:t>
      </w:r>
      <w:r>
        <w:rPr>
          <w:rFonts w:hint="eastAsia" w:ascii="方正小标宋简体" w:hAnsi="方正小标宋简体" w:eastAsia="方正小标宋简体" w:cs="方正小标宋简体"/>
          <w:bCs/>
          <w:kern w:val="0"/>
          <w:sz w:val="44"/>
          <w:szCs w:val="44"/>
          <w:lang w:eastAsia="zh-CN"/>
        </w:rPr>
        <w:t>事业单位公开招聘高校毕业生带编入伍</w:t>
      </w:r>
      <w:r>
        <w:rPr>
          <w:rFonts w:hint="eastAsia" w:ascii="方正小标宋简体" w:hAnsi="方正小标宋简体" w:eastAsia="方正小标宋简体" w:cs="方正小标宋简体"/>
          <w:bCs/>
          <w:kern w:val="0"/>
          <w:sz w:val="44"/>
          <w:szCs w:val="44"/>
        </w:rPr>
        <w:t>应聘须知</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按照事业单位公开招聘的相关规定，凡符合《2023年蓬莱区春季征兵结合事业单位公开招聘征集本科及以上学历毕业生入伍公告》（以下简称《简章》）规定的条件及招聘岗位资格条件者，均可应聘。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本科毕业生年龄18周岁至24周岁（199</w:t>
      </w:r>
      <w:r>
        <w:rPr>
          <w:rFonts w:hint="eastAsia" w:ascii="仿宋_GB2312" w:hAnsi="仿宋" w:eastAsia="仿宋_GB2312"/>
          <w:sz w:val="32"/>
          <w:szCs w:val="32"/>
          <w:lang w:val="en-US" w:eastAsia="zh-CN"/>
        </w:rPr>
        <w:t>9</w:t>
      </w:r>
      <w:r>
        <w:rPr>
          <w:rFonts w:hint="eastAsia" w:ascii="仿宋_GB2312" w:hAnsi="仿宋" w:eastAsia="仿宋_GB2312"/>
          <w:sz w:val="32"/>
          <w:szCs w:val="32"/>
        </w:rPr>
        <w:t>年1月1日—200</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年12月31日出生），研究生毕业生年龄18周岁至26周岁（199</w:t>
      </w:r>
      <w:r>
        <w:rPr>
          <w:rFonts w:hint="eastAsia" w:ascii="仿宋_GB2312" w:hAnsi="仿宋" w:eastAsia="仿宋_GB2312"/>
          <w:sz w:val="32"/>
          <w:szCs w:val="32"/>
          <w:lang w:val="en-US" w:eastAsia="zh-CN"/>
        </w:rPr>
        <w:t>7</w:t>
      </w:r>
      <w:r>
        <w:rPr>
          <w:rFonts w:hint="eastAsia" w:ascii="仿宋_GB2312" w:hAnsi="仿宋" w:eastAsia="仿宋_GB2312"/>
          <w:sz w:val="32"/>
          <w:szCs w:val="32"/>
        </w:rPr>
        <w:t>年1月1日—200</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年12月31日出生）。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对报考所需的资格资质证书取得时间、时效有何要求？</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招聘岗位要求的包括学历证书，应聘人员均须于2023年1</w:t>
      </w:r>
      <w:bookmarkStart w:id="0" w:name="_GoBack"/>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15</w:t>
      </w:r>
      <w:r>
        <w:rPr>
          <w:rFonts w:hint="eastAsia" w:ascii="仿宋_GB2312" w:hAnsi="仿宋_GB2312" w:eastAsia="仿宋_GB2312" w:cs="仿宋_GB2312"/>
          <w:kern w:val="0"/>
          <w:sz w:val="32"/>
          <w:szCs w:val="32"/>
          <w:highlight w:val="none"/>
        </w:rPr>
        <w:t>日（</w:t>
      </w:r>
      <w:bookmarkEnd w:id="0"/>
      <w:r>
        <w:rPr>
          <w:rFonts w:hint="eastAsia" w:ascii="仿宋_GB2312" w:hAnsi="仿宋_GB2312" w:eastAsia="仿宋_GB2312" w:cs="仿宋_GB2312"/>
          <w:kern w:val="0"/>
          <w:sz w:val="32"/>
          <w:szCs w:val="32"/>
          <w:highlight w:val="none"/>
        </w:rPr>
        <w:t>含）之前取得，且在现场资格审查、考察、办理聘用手续等期间该证件均有效。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jc w:val="left"/>
        <w:textAlignment w:val="auto"/>
        <w:outlineLvl w:val="9"/>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.应聘人员报名时间是如何确定的？</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w:t>
      </w:r>
      <w:r>
        <w:rPr>
          <w:rFonts w:hint="eastAsia" w:ascii="仿宋_GB2312" w:hAnsi="仿宋_GB2312" w:eastAsia="仿宋_GB2312" w:cs="仿宋_GB2312"/>
          <w:bCs/>
          <w:kern w:val="0"/>
          <w:sz w:val="32"/>
          <w:szCs w:val="32"/>
          <w:lang w:eastAsia="zh-CN"/>
        </w:rPr>
        <w:t>到报名现场提交报名材料时间为准</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.填报相关表格、信息时需注意什么？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w:t>
      </w:r>
      <w:r>
        <w:rPr>
          <w:rFonts w:hint="eastAsia" w:ascii="仿宋_GB2312" w:hAnsi="仿宋" w:eastAsia="仿宋_GB2312"/>
          <w:b/>
          <w:sz w:val="32"/>
          <w:szCs w:val="32"/>
          <w:lang w:eastAsia="zh-CN"/>
        </w:rPr>
        <w:t>政治考核、</w:t>
      </w:r>
      <w:r>
        <w:rPr>
          <w:rFonts w:hint="eastAsia" w:ascii="仿宋_GB2312" w:hAnsi="仿宋" w:eastAsia="仿宋_GB2312"/>
          <w:b/>
          <w:sz w:val="32"/>
          <w:szCs w:val="32"/>
        </w:rPr>
        <w:t>资格审查的，责任由应聘人员自负。</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lang w:val="en-US" w:eastAsia="zh-CN"/>
        </w:rPr>
        <w:t>小学</w:t>
      </w:r>
      <w:r>
        <w:rPr>
          <w:rFonts w:eastAsia="仿宋_GB2312"/>
          <w:sz w:val="32"/>
          <w:szCs w:val="32"/>
        </w:rPr>
        <w:t>阶段开始填写。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.大学专科毕业之后直接考取研究生并取得研究生学历、学位，是否可以报考？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.已经签订就业协议书的202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年全日制普通高等院校毕业生，报考时应注意什么？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年全日制普通高等院校毕业生，在填写报名信息时，应在“现工作单位”栏填写签约单位名称。 </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本次招聘考试及体检费用由蓬莱区人民政府征兵办公室负责</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.现场</w:t>
      </w:r>
      <w:r>
        <w:rPr>
          <w:rFonts w:hint="eastAsia" w:ascii="黑体" w:hAnsi="黑体" w:eastAsia="黑体" w:cs="黑体"/>
          <w:kern w:val="0"/>
          <w:sz w:val="32"/>
          <w:szCs w:val="32"/>
          <w:lang w:eastAsia="zh-CN"/>
        </w:rPr>
        <w:t>政治考核、</w:t>
      </w:r>
      <w:r>
        <w:rPr>
          <w:rFonts w:hint="eastAsia" w:ascii="黑体" w:hAnsi="黑体" w:eastAsia="黑体" w:cs="黑体"/>
          <w:kern w:val="0"/>
          <w:sz w:val="32"/>
          <w:szCs w:val="32"/>
        </w:rPr>
        <w:t>资格审查是否必须本人到场？</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现场</w:t>
      </w:r>
      <w:r>
        <w:rPr>
          <w:rFonts w:hint="eastAsia" w:ascii="仿宋_GB2312" w:hAnsi="仿宋_GB2312" w:eastAsia="仿宋_GB2312" w:cs="仿宋_GB2312"/>
          <w:kern w:val="0"/>
          <w:sz w:val="32"/>
          <w:szCs w:val="32"/>
          <w:lang w:eastAsia="zh-CN"/>
        </w:rPr>
        <w:t>政治考试、</w:t>
      </w:r>
      <w:r>
        <w:rPr>
          <w:rFonts w:hint="eastAsia" w:ascii="仿宋_GB2312" w:hAnsi="仿宋_GB2312" w:eastAsia="仿宋_GB2312" w:cs="仿宋_GB2312"/>
          <w:kern w:val="0"/>
          <w:sz w:val="32"/>
          <w:szCs w:val="32"/>
        </w:rPr>
        <w:t>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14</w:t>
      </w:r>
      <w:r>
        <w:rPr>
          <w:rFonts w:hint="eastAsia" w:ascii="黑体" w:hAnsi="黑体" w:eastAsia="黑体" w:cs="黑体"/>
          <w:kern w:val="0"/>
          <w:sz w:val="32"/>
          <w:szCs w:val="32"/>
        </w:rPr>
        <w:t>.现场</w:t>
      </w:r>
      <w:r>
        <w:rPr>
          <w:rFonts w:hint="eastAsia" w:ascii="黑体" w:hAnsi="黑体" w:eastAsia="黑体" w:cs="黑体"/>
          <w:kern w:val="0"/>
          <w:sz w:val="32"/>
          <w:szCs w:val="32"/>
          <w:lang w:eastAsia="zh-CN"/>
        </w:rPr>
        <w:t>政治考核、</w:t>
      </w:r>
      <w:r>
        <w:rPr>
          <w:rFonts w:hint="eastAsia" w:ascii="黑体" w:hAnsi="黑体" w:eastAsia="黑体" w:cs="黑体"/>
          <w:kern w:val="0"/>
          <w:sz w:val="32"/>
          <w:szCs w:val="32"/>
        </w:rPr>
        <w:t>资格审查需要携带什么材料？</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蓬莱区</w:t>
      </w:r>
      <w:r>
        <w:rPr>
          <w:rFonts w:hint="eastAsia" w:ascii="仿宋_GB2312" w:hAnsi="仿宋_GB2312" w:eastAsia="仿宋_GB2312" w:cs="仿宋_GB2312"/>
          <w:kern w:val="0"/>
          <w:sz w:val="32"/>
          <w:szCs w:val="32"/>
        </w:rPr>
        <w:t>事业单位公开招聘高校毕业生带编入伍报名登记表》一式两份；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.违纪违规应聘人员如何处理？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.本次招聘是否指定辅导用书？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.公开招聘期间有哪些联系方式？</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w:t>
      </w:r>
      <w:r>
        <w:rPr>
          <w:rFonts w:hint="eastAsia" w:ascii="仿宋_GB2312" w:hAnsi="仿宋_GB2312" w:eastAsia="仿宋_GB2312" w:cs="仿宋_GB2312"/>
          <w:color w:val="auto"/>
          <w:kern w:val="0"/>
          <w:sz w:val="32"/>
          <w:szCs w:val="32"/>
          <w:lang w:val="en-US" w:eastAsia="zh-CN"/>
        </w:rPr>
        <w:t>蓬莱区</w:t>
      </w:r>
      <w:r>
        <w:rPr>
          <w:rFonts w:hint="eastAsia" w:ascii="仿宋_GB2312" w:hAnsi="仿宋_GB2312" w:eastAsia="仿宋_GB2312" w:cs="仿宋_GB2312"/>
          <w:color w:val="auto"/>
          <w:kern w:val="0"/>
          <w:sz w:val="32"/>
          <w:szCs w:val="32"/>
          <w:lang w:eastAsia="zh-CN"/>
        </w:rPr>
        <w:t>征兵办电话：</w:t>
      </w:r>
      <w:r>
        <w:rPr>
          <w:rFonts w:hint="eastAsia" w:ascii="仿宋_GB2312" w:hAnsi="仿宋_GB2312" w:eastAsia="仿宋_GB2312" w:cs="仿宋_GB2312"/>
          <w:sz w:val="32"/>
          <w:szCs w:val="32"/>
          <w:lang w:val="en-US" w:eastAsia="zh-CN"/>
        </w:rPr>
        <w:t>0535-5642558，</w:t>
      </w:r>
      <w:r>
        <w:rPr>
          <w:rFonts w:hint="eastAsia" w:ascii="仿宋_GB2312" w:hAnsi="仿宋_GB2312" w:eastAsia="仿宋_GB2312" w:cs="仿宋_GB2312"/>
          <w:color w:val="auto"/>
          <w:kern w:val="0"/>
          <w:sz w:val="32"/>
          <w:szCs w:val="32"/>
          <w:lang w:val="en-US" w:eastAsia="zh-CN"/>
        </w:rPr>
        <w:t>蓬莱</w:t>
      </w:r>
      <w:r>
        <w:rPr>
          <w:rFonts w:hint="eastAsia" w:ascii="仿宋_GB2312" w:hAnsi="仿宋_GB2312" w:eastAsia="仿宋_GB2312" w:cs="仿宋_GB2312"/>
          <w:sz w:val="32"/>
          <w:szCs w:val="32"/>
          <w:lang w:val="en-US" w:eastAsia="zh-CN"/>
        </w:rPr>
        <w:t>区人社局电话：</w:t>
      </w:r>
      <w:r>
        <w:rPr>
          <w:rFonts w:hint="eastAsia" w:ascii="仿宋_GB2312" w:hAnsi="仿宋_GB2312" w:eastAsia="仿宋_GB2312" w:cs="仿宋_GB2312"/>
          <w:sz w:val="32"/>
          <w:szCs w:val="32"/>
        </w:rPr>
        <w:t>0535-</w:t>
      </w:r>
      <w:r>
        <w:rPr>
          <w:rFonts w:hint="eastAsia" w:ascii="仿宋_GB2312" w:hAnsi="仿宋_GB2312" w:eastAsia="仿宋_GB2312" w:cs="仿宋_GB2312"/>
          <w:sz w:val="32"/>
          <w:szCs w:val="32"/>
          <w:lang w:val="en-US" w:eastAsia="zh-CN"/>
        </w:rPr>
        <w:t>5643526</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w:t>
      </w:r>
      <w:r>
        <w:rPr>
          <w:rFonts w:hint="eastAsia" w:ascii="仿宋_GB2312" w:hAnsi="仿宋_GB2312" w:eastAsia="仿宋_GB2312" w:cs="仿宋_GB2312"/>
          <w:sz w:val="32"/>
          <w:szCs w:val="32"/>
          <w:lang w:val="en-US" w:eastAsia="zh-CN"/>
        </w:rPr>
        <w:t>0535-5647769</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.应聘人员还需注意哪些问题？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3B42D1"/>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0A46A4D"/>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9E3A43"/>
    <w:rsid w:val="29DF5135"/>
    <w:rsid w:val="2AC85CFB"/>
    <w:rsid w:val="2B190F34"/>
    <w:rsid w:val="2B5302D4"/>
    <w:rsid w:val="2B7D3CB5"/>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3DF2621"/>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63BF2"/>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056A1A"/>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033C6B"/>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5</TotalTime>
  <ScaleCrop>false</ScaleCrop>
  <LinksUpToDate>false</LinksUpToDate>
  <CharactersWithSpaces>7886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2019-01-16T07:12:00Z</cp:lastPrinted>
  <dcterms:modified xsi:type="dcterms:W3CDTF">2023-01-11T06:25:41Z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31FEDBA09A224934A33A74D7B12A1115</vt:lpwstr>
  </property>
</Properties>
</file>