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江西财经大学2023年硕士研究生公开招聘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报名登记表</w:t>
      </w:r>
    </w:p>
    <w:tbl>
      <w:tblPr>
        <w:tblStyle w:val="4"/>
        <w:tblW w:w="9990" w:type="dxa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05"/>
        <w:gridCol w:w="840"/>
        <w:gridCol w:w="1260"/>
        <w:gridCol w:w="1110"/>
        <w:gridCol w:w="157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  <w:tcBorders>
              <w:top w:val="single" w:color="FF0000" w:sz="12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575" w:type="dxa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序号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35" w:type="dxa"/>
            <w:vMerge w:val="restart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60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FF0000" w:sz="12" w:space="0"/>
              <w:bottom w:val="single" w:color="FF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FF0000" w:sz="12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35" w:type="dxa"/>
            <w:vMerge w:val="continue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75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取得资格证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档案存放地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硕士毕业院校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硕士所学专业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是否具有本科学历、学士学位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是否应届毕业生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pacing w:val="1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院 校 及 专 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 位 及 职 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、职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申请人（签名）：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注：打印签名前，请注意排版格式，如有2页内容请正反打印。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7B5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2023-04-28T12:59:07Z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19E731A4135F4B4AA60EA660CBADE02E</vt:lpwstr>
  </property>
</Properties>
</file>